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4F2F68">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sz w:val="32"/>
        </w:rPr>
      </w:pPr>
      <w:bookmarkStart w:id="0" w:name="_GoBack"/>
      <w:r>
        <w:rPr>
          <w:rFonts w:hint="eastAsia" w:ascii="宋体" w:hAnsi="宋体" w:eastAsia="宋体" w:cs="宋体"/>
          <w:sz w:val="24"/>
        </w:rPr>
        <mc:AlternateContent>
          <mc:Choice Requires="wps">
            <w:drawing>
              <wp:anchor distT="0" distB="0" distL="114300" distR="114300" simplePos="0" relativeHeight="251659264" behindDoc="0" locked="0" layoutInCell="1" allowOverlap="1">
                <wp:simplePos x="0" y="0"/>
                <wp:positionH relativeFrom="column">
                  <wp:posOffset>7048500</wp:posOffset>
                </wp:positionH>
                <wp:positionV relativeFrom="paragraph">
                  <wp:posOffset>198120</wp:posOffset>
                </wp:positionV>
                <wp:extent cx="6438900" cy="9107805"/>
                <wp:effectExtent l="4445" t="5080" r="18415" b="15875"/>
                <wp:wrapNone/>
                <wp:docPr id="1" name="文本框 2"/>
                <wp:cNvGraphicFramePr/>
                <a:graphic xmlns:a="http://schemas.openxmlformats.org/drawingml/2006/main">
                  <a:graphicData uri="http://schemas.microsoft.com/office/word/2010/wordprocessingShape">
                    <wps:wsp>
                      <wps:cNvSpPr txBox="1"/>
                      <wps:spPr>
                        <a:xfrm>
                          <a:off x="0" y="0"/>
                          <a:ext cx="6438900" cy="9107805"/>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214CB15C">
                            <w:pPr>
                              <w:spacing w:line="300" w:lineRule="exact"/>
                              <w:jc w:val="left"/>
                              <w:rPr>
                                <w:rFonts w:ascii="宋体" w:hAnsi="宋体"/>
                                <w:szCs w:val="21"/>
                                <w:u w:val="single"/>
                              </w:rPr>
                            </w:pPr>
                            <w:r>
                              <w:rPr>
                                <w:rFonts w:hint="eastAsia" w:ascii="宋体" w:hAnsi="宋体"/>
                                <w:szCs w:val="21"/>
                                <w:u w:val="single"/>
                              </w:rPr>
                              <w:t>（6）承揽人必须严格按照施工图纸内容进行施工，如果属于施工图纸或者控制价中包含的项目，承揽人拒不施工的，建设单位有权委托其他单位施工，发生的费用从承揽人合同价款中扣除。</w:t>
                            </w:r>
                          </w:p>
                          <w:p w14:paraId="0B743E89">
                            <w:pPr>
                              <w:spacing w:line="300" w:lineRule="exact"/>
                              <w:jc w:val="left"/>
                              <w:rPr>
                                <w:rFonts w:ascii="宋体" w:hAnsi="宋体"/>
                                <w:szCs w:val="21"/>
                              </w:rPr>
                            </w:pPr>
                            <w:r>
                              <w:rPr>
                                <w:rFonts w:hint="eastAsia" w:ascii="宋体" w:hAnsi="宋体"/>
                                <w:szCs w:val="21"/>
                                <w:u w:val="single"/>
                              </w:rPr>
                              <w:t>（7）承揽人承诺已对施工现场进行考察，合同价款中包含由于施工现场多家施工单位交叉作业引起的工效降低、费用增加、工序颠倒引起费用增加等各项费用；考虑并包含周边区域已有的建（构）筑物、提升设备、以及自身提升设备间对施工的影响及费用。</w:t>
                            </w:r>
                          </w:p>
                          <w:p w14:paraId="736A0809">
                            <w:pPr>
                              <w:spacing w:line="300" w:lineRule="exact"/>
                              <w:jc w:val="left"/>
                              <w:rPr>
                                <w:rFonts w:ascii="宋体" w:hAnsi="宋体"/>
                                <w:b/>
                                <w:bCs/>
                                <w:szCs w:val="21"/>
                                <w:u w:val="single"/>
                              </w:rPr>
                            </w:pPr>
                            <w:r>
                              <w:rPr>
                                <w:rFonts w:hint="eastAsia" w:ascii="宋体" w:hAnsi="宋体"/>
                                <w:szCs w:val="21"/>
                              </w:rPr>
                              <w:t>风险费用的计算方法：</w:t>
                            </w:r>
                            <w:r>
                              <w:rPr>
                                <w:rFonts w:hint="eastAsia" w:ascii="宋体" w:hAnsi="宋体"/>
                                <w:szCs w:val="21"/>
                                <w:u w:val="single"/>
                              </w:rPr>
                              <w:t>本合同的风险费用已包含在合同价款中，施工及结算时不作任何调整。</w:t>
                            </w:r>
                          </w:p>
                          <w:p w14:paraId="2A783225">
                            <w:pPr>
                              <w:spacing w:line="300" w:lineRule="exact"/>
                              <w:jc w:val="left"/>
                              <w:rPr>
                                <w:rFonts w:ascii="宋体" w:hAnsi="宋体"/>
                                <w:szCs w:val="21"/>
                                <w:u w:val="single"/>
                              </w:rPr>
                            </w:pPr>
                            <w:r>
                              <w:rPr>
                                <w:rFonts w:hint="eastAsia" w:ascii="宋体" w:hAnsi="宋体"/>
                                <w:szCs w:val="21"/>
                              </w:rPr>
                              <w:t>风险范围以外合同价格的调整方法：</w:t>
                            </w:r>
                            <w:r>
                              <w:rPr>
                                <w:rFonts w:hint="eastAsia" w:ascii="宋体" w:hAnsi="宋体"/>
                                <w:szCs w:val="21"/>
                                <w:u w:val="single"/>
                              </w:rPr>
                              <w:t>本合同价款除下述因素调整外，其余一次性包死，施工过程中及结算时均不作任何调整：</w:t>
                            </w:r>
                          </w:p>
                          <w:p w14:paraId="7B09E1B5">
                            <w:pPr>
                              <w:spacing w:line="300" w:lineRule="exact"/>
                              <w:ind w:firstLine="420" w:firstLineChars="200"/>
                              <w:jc w:val="left"/>
                              <w:rPr>
                                <w:rFonts w:ascii="宋体" w:hAnsi="宋体"/>
                                <w:szCs w:val="21"/>
                                <w:u w:val="single"/>
                              </w:rPr>
                            </w:pPr>
                            <w:r>
                              <w:rPr>
                                <w:rFonts w:hint="eastAsia" w:ascii="宋体" w:hAnsi="宋体"/>
                                <w:szCs w:val="21"/>
                                <w:u w:val="single"/>
                              </w:rPr>
                              <w:t>经双方确认的合同或设计图纸范围以内的工程变更、设计变更及现场签证。调整方法：①若在控制价中已有适用或类似变更工程的组价，参照已有或类似的工程组价；若招标控制价中没有适用或类似变更工程的组价，其组价的依据为：安徽省建设工程工程量清单计价规范及与本工程专业相配套的消耗量定额、消耗量定额综合单价和费用定额；材料价格按招标控制价中材料价格执行，若招标控制价中没有的材料价格则由双方询价后经定作人认可。该变更（或增加）工程组价=按清单计价规范、消耗量定额、消耗量定额综合单价和相应费用定额进行组价×（1-下浮比例），下浮比例为招标文件中规定的下浮比例。②组价时只计取分部分项工程费、施工技术措施费及工程税金，其他如与之有关的施工组织措施费、其他项目费、规费不予计取。承揽人在以上工程变更、设计变更及现场签证完成后7日内向监理人和定作人提出书面签证，定作人在收到经监理核准书面签证后7日内进行确认。承揽人未在规定时间内提出书面签证，则视为放弃，逾期定作人不予办理。</w:t>
                            </w:r>
                          </w:p>
                          <w:p w14:paraId="21E943A1">
                            <w:pPr>
                              <w:spacing w:line="300" w:lineRule="exact"/>
                              <w:rPr>
                                <w:szCs w:val="21"/>
                              </w:rPr>
                            </w:pPr>
                            <w:r>
                              <w:rPr>
                                <w:rFonts w:hint="eastAsia"/>
                                <w:szCs w:val="21"/>
                              </w:rPr>
                              <w:t xml:space="preserve">    </w:t>
                            </w:r>
                            <w:r>
                              <w:rPr>
                                <w:rFonts w:hint="eastAsia"/>
                                <w:b/>
                                <w:szCs w:val="21"/>
                              </w:rPr>
                              <w:t>第十二条</w:t>
                            </w:r>
                            <w:r>
                              <w:rPr>
                                <w:rFonts w:hint="eastAsia"/>
                                <w:szCs w:val="21"/>
                              </w:rPr>
                              <w:t xml:space="preserve"> 定作人解除承揽合同应及时书面通知承揽人。</w:t>
                            </w:r>
                          </w:p>
                          <w:p w14:paraId="61A846C1">
                            <w:pPr>
                              <w:spacing w:line="300" w:lineRule="exact"/>
                              <w:ind w:firstLine="422" w:firstLineChars="200"/>
                              <w:rPr>
                                <w:szCs w:val="21"/>
                              </w:rPr>
                            </w:pPr>
                            <w:r>
                              <w:rPr>
                                <w:rFonts w:hint="eastAsia"/>
                                <w:b/>
                                <w:szCs w:val="21"/>
                              </w:rPr>
                              <w:t>第十三条</w:t>
                            </w:r>
                            <w:r>
                              <w:rPr>
                                <w:rFonts w:hint="eastAsia"/>
                                <w:szCs w:val="21"/>
                              </w:rPr>
                              <w:t xml:space="preserve"> 定作人未向承揽人支付报酬或材料费的，乙方可以留置工作成果。</w:t>
                            </w:r>
                          </w:p>
                          <w:p w14:paraId="1B0CE84C">
                            <w:pPr>
                              <w:spacing w:line="300" w:lineRule="exact"/>
                              <w:ind w:firstLine="422" w:firstLineChars="200"/>
                              <w:rPr>
                                <w:szCs w:val="21"/>
                                <w:u w:val="single"/>
                              </w:rPr>
                            </w:pPr>
                            <w:r>
                              <w:rPr>
                                <w:rFonts w:hint="eastAsia"/>
                                <w:b/>
                                <w:szCs w:val="21"/>
                              </w:rPr>
                              <w:t>第十四条</w:t>
                            </w:r>
                            <w:r>
                              <w:rPr>
                                <w:rFonts w:hint="eastAsia"/>
                                <w:szCs w:val="21"/>
                              </w:rPr>
                              <w:t xml:space="preserve"> 违约责任：</w:t>
                            </w:r>
                            <w:r>
                              <w:rPr>
                                <w:rFonts w:hint="eastAsia"/>
                                <w:szCs w:val="21"/>
                                <w:u w:val="single"/>
                              </w:rPr>
                              <w:t xml:space="preserve">工程质量不符合合同规定的，承揽人负责返修直至工程质量验收合格。 </w:t>
                            </w:r>
                          </w:p>
                          <w:p w14:paraId="714C0C74">
                            <w:pPr>
                              <w:spacing w:line="300" w:lineRule="exact"/>
                              <w:ind w:left="525" w:hanging="525" w:hangingChars="250"/>
                              <w:rPr>
                                <w:szCs w:val="21"/>
                              </w:rPr>
                            </w:pPr>
                            <w:r>
                              <w:rPr>
                                <w:rFonts w:hint="eastAsia"/>
                                <w:szCs w:val="21"/>
                              </w:rPr>
                              <w:t xml:space="preserve">   </w:t>
                            </w:r>
                            <w:r>
                              <w:rPr>
                                <w:rFonts w:hint="eastAsia"/>
                                <w:b/>
                                <w:szCs w:val="21"/>
                              </w:rPr>
                              <w:t xml:space="preserve"> 第十五条</w:t>
                            </w:r>
                            <w:r>
                              <w:rPr>
                                <w:rFonts w:hint="eastAsia"/>
                                <w:szCs w:val="21"/>
                              </w:rPr>
                              <w:t xml:space="preserve"> 合同争议的解决方式：本合同在履行过程中发生的争议，由双方当事人协商解决；也可由当地工商行政管理部门调解；协商或调解不成的，按下列第</w:t>
                            </w:r>
                            <w:r>
                              <w:rPr>
                                <w:rFonts w:hint="eastAsia"/>
                                <w:szCs w:val="21"/>
                                <w:u w:val="single"/>
                              </w:rPr>
                              <w:t xml:space="preserve"> （一） </w:t>
                            </w:r>
                            <w:r>
                              <w:rPr>
                                <w:rFonts w:hint="eastAsia"/>
                                <w:szCs w:val="21"/>
                              </w:rPr>
                              <w:t>种方式解决：</w:t>
                            </w:r>
                          </w:p>
                          <w:p w14:paraId="3A055F5B">
                            <w:pPr>
                              <w:spacing w:line="300" w:lineRule="exact"/>
                              <w:ind w:left="420" w:hanging="420" w:hangingChars="200"/>
                              <w:rPr>
                                <w:szCs w:val="21"/>
                              </w:rPr>
                            </w:pPr>
                            <w:r>
                              <w:rPr>
                                <w:rFonts w:hint="eastAsia"/>
                                <w:szCs w:val="21"/>
                              </w:rPr>
                              <w:t xml:space="preserve">     （一）提交</w:t>
                            </w:r>
                            <w:r>
                              <w:rPr>
                                <w:rFonts w:hint="eastAsia"/>
                                <w:szCs w:val="21"/>
                                <w:u w:val="single"/>
                              </w:rPr>
                              <w:t xml:space="preserve"> 马鞍山</w:t>
                            </w:r>
                            <w:r>
                              <w:rPr>
                                <w:rFonts w:hint="eastAsia"/>
                                <w:szCs w:val="21"/>
                              </w:rPr>
                              <w:t>仲裁委员会仲裁；（二）依法向人民法院起诉。</w:t>
                            </w:r>
                          </w:p>
                          <w:p w14:paraId="24144A9A">
                            <w:pPr>
                              <w:pStyle w:val="2"/>
                              <w:widowControl/>
                              <w:snapToGrid w:val="0"/>
                              <w:spacing w:line="300" w:lineRule="exact"/>
                              <w:ind w:firstLine="422" w:firstLineChars="200"/>
                              <w:rPr>
                                <w:color w:val="0000FF"/>
                                <w:szCs w:val="21"/>
                              </w:rPr>
                            </w:pPr>
                            <w:r>
                              <w:rPr>
                                <w:rFonts w:hint="eastAsia"/>
                                <w:b/>
                                <w:szCs w:val="21"/>
                              </w:rPr>
                              <w:t>第十六条</w:t>
                            </w:r>
                            <w:r>
                              <w:rPr>
                                <w:rFonts w:hint="eastAsia"/>
                                <w:szCs w:val="21"/>
                              </w:rPr>
                              <w:t xml:space="preserve"> 其他约定事项：</w:t>
                            </w:r>
                            <w:r>
                              <w:rPr>
                                <w:rFonts w:hint="eastAsia"/>
                                <w:color w:val="0000FF"/>
                                <w:szCs w:val="21"/>
                              </w:rPr>
                              <w:t>工程结算价＝成交价±定作人确认的合同或设计图纸范围以内工程变更、设计变更、现场签证－承揽人未施工或造成损失费用及各项罚金。</w:t>
                            </w:r>
                          </w:p>
                          <w:p w14:paraId="4027C432">
                            <w:pPr>
                              <w:pStyle w:val="2"/>
                              <w:widowControl/>
                              <w:snapToGrid w:val="0"/>
                              <w:spacing w:line="300" w:lineRule="exact"/>
                              <w:ind w:firstLine="422" w:firstLineChars="200"/>
                              <w:rPr>
                                <w:rFonts w:ascii="宋体" w:hAnsi="宋体"/>
                                <w:color w:val="000000"/>
                                <w:szCs w:val="21"/>
                              </w:rPr>
                            </w:pPr>
                            <w:r>
                              <w:rPr>
                                <w:rFonts w:hint="eastAsia"/>
                                <w:b/>
                                <w:szCs w:val="21"/>
                              </w:rPr>
                              <w:t>第十七条</w:t>
                            </w:r>
                            <w:r>
                              <w:rPr>
                                <w:rFonts w:hint="eastAsia"/>
                                <w:szCs w:val="21"/>
                              </w:rPr>
                              <w:t xml:space="preserve"> 保修事项：本工程保修事项执行</w:t>
                            </w:r>
                            <w:r>
                              <w:rPr>
                                <w:rFonts w:hint="eastAsia" w:ascii="宋体" w:hAnsi="宋体"/>
                                <w:color w:val="000000"/>
                                <w:szCs w:val="21"/>
                              </w:rPr>
                              <w:t>《建设工程质量管理条例》及马鞍山市有关规定。</w:t>
                            </w:r>
                          </w:p>
                          <w:p w14:paraId="41F74EC7">
                            <w:pPr>
                              <w:pStyle w:val="2"/>
                              <w:widowControl/>
                              <w:snapToGrid w:val="0"/>
                              <w:spacing w:line="280" w:lineRule="exact"/>
                              <w:ind w:firstLine="422" w:firstLineChars="200"/>
                              <w:rPr>
                                <w:b/>
                                <w:color w:val="00B050"/>
                                <w:szCs w:val="21"/>
                                <w:u w:val="single"/>
                              </w:rPr>
                            </w:pPr>
                            <w:r>
                              <w:rPr>
                                <w:rFonts w:hint="eastAsia"/>
                                <w:b/>
                                <w:szCs w:val="21"/>
                              </w:rPr>
                              <w:t xml:space="preserve">第十八条 </w:t>
                            </w:r>
                            <w:r>
                              <w:rPr>
                                <w:rFonts w:hint="eastAsia"/>
                                <w:szCs w:val="21"/>
                              </w:rPr>
                              <w:t>其他事项</w:t>
                            </w:r>
                            <w:r>
                              <w:rPr>
                                <w:rFonts w:hint="eastAsia"/>
                                <w:b/>
                                <w:szCs w:val="21"/>
                              </w:rPr>
                              <w:t>：1、</w:t>
                            </w:r>
                            <w:r>
                              <w:rPr>
                                <w:rFonts w:hint="eastAsia"/>
                                <w:b/>
                                <w:color w:val="00B050"/>
                                <w:szCs w:val="21"/>
                              </w:rPr>
                              <w:t>签订合同时承揽人需明确项目负责人及项目管理班子人员名单，作为为合同附件。</w:t>
                            </w:r>
                            <w:r>
                              <w:rPr>
                                <w:rFonts w:hint="eastAsia"/>
                                <w:color w:val="00B050"/>
                                <w:szCs w:val="21"/>
                              </w:rPr>
                              <w:t>2、双方有争议，协商解决。协商不成，提交马鞍山仲裁委员会仲裁。</w:t>
                            </w:r>
                          </w:p>
                        </w:txbxContent>
                      </wps:txbx>
                      <wps:bodyPr upright="1"/>
                    </wps:wsp>
                  </a:graphicData>
                </a:graphic>
              </wp:anchor>
            </w:drawing>
          </mc:Choice>
          <mc:Fallback>
            <w:pict>
              <v:shape id="文本框 2" o:spid="_x0000_s1026" o:spt="202" type="#_x0000_t202" style="position:absolute;left:0pt;margin-left:555pt;margin-top:15.6pt;height:717.15pt;width:507pt;z-index:251659264;mso-width-relative:page;mso-height-relative:page;" fillcolor="#FFFFFF" filled="t" stroked="t" coordsize="21600,21600" o:gfxdata="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ysY7M2QAAAA0BAAAPAAAAAAAAAAEAIAAAACIAAABk&#10;cnMvZG93bnJldi54bWxQSwECFAAUAAAACACHTuJArXG+OQUCAAA3BAAADgAAAAAAAAABACAAAAAo&#10;AQAAZHJzL2Uyb0RvYy54bWxQSwUGAAAAAAYABgBZAQAAnwUAAAAA&#10;">
                <v:fill on="t" focussize="0,0"/>
                <v:stroke color="#FFFFFF" joinstyle="miter"/>
                <v:imagedata o:title=""/>
                <o:lock v:ext="edit" aspectratio="f"/>
                <v:textbox>
                  <w:txbxContent>
                    <w:p w14:paraId="214CB15C">
                      <w:pPr>
                        <w:spacing w:line="300" w:lineRule="exact"/>
                        <w:jc w:val="left"/>
                        <w:rPr>
                          <w:rFonts w:ascii="宋体" w:hAnsi="宋体"/>
                          <w:szCs w:val="21"/>
                          <w:u w:val="single"/>
                        </w:rPr>
                      </w:pPr>
                      <w:r>
                        <w:rPr>
                          <w:rFonts w:hint="eastAsia" w:ascii="宋体" w:hAnsi="宋体"/>
                          <w:szCs w:val="21"/>
                          <w:u w:val="single"/>
                        </w:rPr>
                        <w:t>（6）承揽人必须严格按照施工图纸内容进行施工，如果属于施工图纸或者控制价中包含的项目，承揽人拒不施工的，建设单位有权委托其他单位施工，发生的费用从承揽人合同价款中扣除。</w:t>
                      </w:r>
                    </w:p>
                    <w:p w14:paraId="0B743E89">
                      <w:pPr>
                        <w:spacing w:line="300" w:lineRule="exact"/>
                        <w:jc w:val="left"/>
                        <w:rPr>
                          <w:rFonts w:ascii="宋体" w:hAnsi="宋体"/>
                          <w:szCs w:val="21"/>
                        </w:rPr>
                      </w:pPr>
                      <w:r>
                        <w:rPr>
                          <w:rFonts w:hint="eastAsia" w:ascii="宋体" w:hAnsi="宋体"/>
                          <w:szCs w:val="21"/>
                          <w:u w:val="single"/>
                        </w:rPr>
                        <w:t>（7）承揽人承诺已对施工现场进行考察，合同价款中包含由于施工现场多家施工单位交叉作业引起的工效降低、费用增加、工序颠倒引起费用增加等各项费用；考虑并包含周边区域已有的建（构）筑物、提升设备、以及自身提升设备间对施工的影响及费用。</w:t>
                      </w:r>
                    </w:p>
                    <w:p w14:paraId="736A0809">
                      <w:pPr>
                        <w:spacing w:line="300" w:lineRule="exact"/>
                        <w:jc w:val="left"/>
                        <w:rPr>
                          <w:rFonts w:ascii="宋体" w:hAnsi="宋体"/>
                          <w:b/>
                          <w:bCs/>
                          <w:szCs w:val="21"/>
                          <w:u w:val="single"/>
                        </w:rPr>
                      </w:pPr>
                      <w:r>
                        <w:rPr>
                          <w:rFonts w:hint="eastAsia" w:ascii="宋体" w:hAnsi="宋体"/>
                          <w:szCs w:val="21"/>
                        </w:rPr>
                        <w:t>风险费用的计算方法：</w:t>
                      </w:r>
                      <w:r>
                        <w:rPr>
                          <w:rFonts w:hint="eastAsia" w:ascii="宋体" w:hAnsi="宋体"/>
                          <w:szCs w:val="21"/>
                          <w:u w:val="single"/>
                        </w:rPr>
                        <w:t>本合同的风险费用已包含在合同价款中，施工及结算时不作任何调整。</w:t>
                      </w:r>
                    </w:p>
                    <w:p w14:paraId="2A783225">
                      <w:pPr>
                        <w:spacing w:line="300" w:lineRule="exact"/>
                        <w:jc w:val="left"/>
                        <w:rPr>
                          <w:rFonts w:ascii="宋体" w:hAnsi="宋体"/>
                          <w:szCs w:val="21"/>
                          <w:u w:val="single"/>
                        </w:rPr>
                      </w:pPr>
                      <w:r>
                        <w:rPr>
                          <w:rFonts w:hint="eastAsia" w:ascii="宋体" w:hAnsi="宋体"/>
                          <w:szCs w:val="21"/>
                        </w:rPr>
                        <w:t>风险范围以外合同价格的调整方法：</w:t>
                      </w:r>
                      <w:r>
                        <w:rPr>
                          <w:rFonts w:hint="eastAsia" w:ascii="宋体" w:hAnsi="宋体"/>
                          <w:szCs w:val="21"/>
                          <w:u w:val="single"/>
                        </w:rPr>
                        <w:t>本合同价款除下述因素调整外，其余一次性包死，施工过程中及结算时均不作任何调整：</w:t>
                      </w:r>
                    </w:p>
                    <w:p w14:paraId="7B09E1B5">
                      <w:pPr>
                        <w:spacing w:line="300" w:lineRule="exact"/>
                        <w:ind w:firstLine="420" w:firstLineChars="200"/>
                        <w:jc w:val="left"/>
                        <w:rPr>
                          <w:rFonts w:ascii="宋体" w:hAnsi="宋体"/>
                          <w:szCs w:val="21"/>
                          <w:u w:val="single"/>
                        </w:rPr>
                      </w:pPr>
                      <w:r>
                        <w:rPr>
                          <w:rFonts w:hint="eastAsia" w:ascii="宋体" w:hAnsi="宋体"/>
                          <w:szCs w:val="21"/>
                          <w:u w:val="single"/>
                        </w:rPr>
                        <w:t>经双方确认的合同或设计图纸范围以内的工程变更、设计变更及现场签证。调整方法：①若在控制价中已有适用或类似变更工程的组价，参照已有或类似的工程组价；若招标控制价中没有适用或类似变更工程的组价，其组价的依据为：安徽省建设工程工程量清单计价规范及与本工程专业相配套的消耗量定额、消耗量定额综合单价和费用定额；材料价格按招标控制价中材料价格执行，若招标控制价中没有的材料价格则由双方询价后经定作人认可。该变更（或增加）工程组价=按清单计价规范、消耗量定额、消耗量定额综合单价和相应费用定额进行组价×（1-下浮比例），下浮比例为招标文件中规定的下浮比例。②组价时只计取分部分项工程费、施工技术措施费及工程税金，其他如与之有关的施工组织措施费、其他项目费、规费不予计取。承揽人在以上工程变更、设计变更及现场签证完成后7日内向监理人和定作人提出书面签证，定作人在收到经监理核准书面签证后7日内进行确认。承揽人未在规定时间内提出书面签证，则视为放弃，逾期定作人不予办理。</w:t>
                      </w:r>
                    </w:p>
                    <w:p w14:paraId="21E943A1">
                      <w:pPr>
                        <w:spacing w:line="300" w:lineRule="exact"/>
                        <w:rPr>
                          <w:szCs w:val="21"/>
                        </w:rPr>
                      </w:pPr>
                      <w:r>
                        <w:rPr>
                          <w:rFonts w:hint="eastAsia"/>
                          <w:szCs w:val="21"/>
                        </w:rPr>
                        <w:t xml:space="preserve">    </w:t>
                      </w:r>
                      <w:r>
                        <w:rPr>
                          <w:rFonts w:hint="eastAsia"/>
                          <w:b/>
                          <w:szCs w:val="21"/>
                        </w:rPr>
                        <w:t>第十二条</w:t>
                      </w:r>
                      <w:r>
                        <w:rPr>
                          <w:rFonts w:hint="eastAsia"/>
                          <w:szCs w:val="21"/>
                        </w:rPr>
                        <w:t xml:space="preserve"> 定作人解除承揽合同应及时书面通知承揽人。</w:t>
                      </w:r>
                    </w:p>
                    <w:p w14:paraId="61A846C1">
                      <w:pPr>
                        <w:spacing w:line="300" w:lineRule="exact"/>
                        <w:ind w:firstLine="422" w:firstLineChars="200"/>
                        <w:rPr>
                          <w:szCs w:val="21"/>
                        </w:rPr>
                      </w:pPr>
                      <w:r>
                        <w:rPr>
                          <w:rFonts w:hint="eastAsia"/>
                          <w:b/>
                          <w:szCs w:val="21"/>
                        </w:rPr>
                        <w:t>第十三条</w:t>
                      </w:r>
                      <w:r>
                        <w:rPr>
                          <w:rFonts w:hint="eastAsia"/>
                          <w:szCs w:val="21"/>
                        </w:rPr>
                        <w:t xml:space="preserve"> 定作人未向承揽人支付报酬或材料费的，乙方可以留置工作成果。</w:t>
                      </w:r>
                    </w:p>
                    <w:p w14:paraId="1B0CE84C">
                      <w:pPr>
                        <w:spacing w:line="300" w:lineRule="exact"/>
                        <w:ind w:firstLine="422" w:firstLineChars="200"/>
                        <w:rPr>
                          <w:szCs w:val="21"/>
                          <w:u w:val="single"/>
                        </w:rPr>
                      </w:pPr>
                      <w:r>
                        <w:rPr>
                          <w:rFonts w:hint="eastAsia"/>
                          <w:b/>
                          <w:szCs w:val="21"/>
                        </w:rPr>
                        <w:t>第十四条</w:t>
                      </w:r>
                      <w:r>
                        <w:rPr>
                          <w:rFonts w:hint="eastAsia"/>
                          <w:szCs w:val="21"/>
                        </w:rPr>
                        <w:t xml:space="preserve"> 违约责任：</w:t>
                      </w:r>
                      <w:r>
                        <w:rPr>
                          <w:rFonts w:hint="eastAsia"/>
                          <w:szCs w:val="21"/>
                          <w:u w:val="single"/>
                        </w:rPr>
                        <w:t xml:space="preserve">工程质量不符合合同规定的，承揽人负责返修直至工程质量验收合格。 </w:t>
                      </w:r>
                    </w:p>
                    <w:p w14:paraId="714C0C74">
                      <w:pPr>
                        <w:spacing w:line="300" w:lineRule="exact"/>
                        <w:ind w:left="525" w:hanging="525" w:hangingChars="250"/>
                        <w:rPr>
                          <w:szCs w:val="21"/>
                        </w:rPr>
                      </w:pPr>
                      <w:r>
                        <w:rPr>
                          <w:rFonts w:hint="eastAsia"/>
                          <w:szCs w:val="21"/>
                        </w:rPr>
                        <w:t xml:space="preserve">   </w:t>
                      </w:r>
                      <w:r>
                        <w:rPr>
                          <w:rFonts w:hint="eastAsia"/>
                          <w:b/>
                          <w:szCs w:val="21"/>
                        </w:rPr>
                        <w:t xml:space="preserve"> 第十五条</w:t>
                      </w:r>
                      <w:r>
                        <w:rPr>
                          <w:rFonts w:hint="eastAsia"/>
                          <w:szCs w:val="21"/>
                        </w:rPr>
                        <w:t xml:space="preserve"> 合同争议的解决方式：本合同在履行过程中发生的争议，由双方当事人协商解决；也可由当地工商行政管理部门调解；协商或调解不成的，按下列第</w:t>
                      </w:r>
                      <w:r>
                        <w:rPr>
                          <w:rFonts w:hint="eastAsia"/>
                          <w:szCs w:val="21"/>
                          <w:u w:val="single"/>
                        </w:rPr>
                        <w:t xml:space="preserve"> （一） </w:t>
                      </w:r>
                      <w:r>
                        <w:rPr>
                          <w:rFonts w:hint="eastAsia"/>
                          <w:szCs w:val="21"/>
                        </w:rPr>
                        <w:t>种方式解决：</w:t>
                      </w:r>
                    </w:p>
                    <w:p w14:paraId="3A055F5B">
                      <w:pPr>
                        <w:spacing w:line="300" w:lineRule="exact"/>
                        <w:ind w:left="420" w:hanging="420" w:hangingChars="200"/>
                        <w:rPr>
                          <w:szCs w:val="21"/>
                        </w:rPr>
                      </w:pPr>
                      <w:r>
                        <w:rPr>
                          <w:rFonts w:hint="eastAsia"/>
                          <w:szCs w:val="21"/>
                        </w:rPr>
                        <w:t xml:space="preserve">     （一）提交</w:t>
                      </w:r>
                      <w:r>
                        <w:rPr>
                          <w:rFonts w:hint="eastAsia"/>
                          <w:szCs w:val="21"/>
                          <w:u w:val="single"/>
                        </w:rPr>
                        <w:t xml:space="preserve"> 马鞍山</w:t>
                      </w:r>
                      <w:r>
                        <w:rPr>
                          <w:rFonts w:hint="eastAsia"/>
                          <w:szCs w:val="21"/>
                        </w:rPr>
                        <w:t>仲裁委员会仲裁；（二）依法向人民法院起诉。</w:t>
                      </w:r>
                    </w:p>
                    <w:p w14:paraId="24144A9A">
                      <w:pPr>
                        <w:pStyle w:val="2"/>
                        <w:widowControl/>
                        <w:snapToGrid w:val="0"/>
                        <w:spacing w:line="300" w:lineRule="exact"/>
                        <w:ind w:firstLine="422" w:firstLineChars="200"/>
                        <w:rPr>
                          <w:color w:val="0000FF"/>
                          <w:szCs w:val="21"/>
                        </w:rPr>
                      </w:pPr>
                      <w:r>
                        <w:rPr>
                          <w:rFonts w:hint="eastAsia"/>
                          <w:b/>
                          <w:szCs w:val="21"/>
                        </w:rPr>
                        <w:t>第十六条</w:t>
                      </w:r>
                      <w:r>
                        <w:rPr>
                          <w:rFonts w:hint="eastAsia"/>
                          <w:szCs w:val="21"/>
                        </w:rPr>
                        <w:t xml:space="preserve"> 其他约定事项：</w:t>
                      </w:r>
                      <w:r>
                        <w:rPr>
                          <w:rFonts w:hint="eastAsia"/>
                          <w:color w:val="0000FF"/>
                          <w:szCs w:val="21"/>
                        </w:rPr>
                        <w:t>工程结算价＝成交价±定作人确认的合同或设计图纸范围以内工程变更、设计变更、现场签证－承揽人未施工或造成损失费用及各项罚金。</w:t>
                      </w:r>
                    </w:p>
                    <w:p w14:paraId="4027C432">
                      <w:pPr>
                        <w:pStyle w:val="2"/>
                        <w:widowControl/>
                        <w:snapToGrid w:val="0"/>
                        <w:spacing w:line="300" w:lineRule="exact"/>
                        <w:ind w:firstLine="422" w:firstLineChars="200"/>
                        <w:rPr>
                          <w:rFonts w:ascii="宋体" w:hAnsi="宋体"/>
                          <w:color w:val="000000"/>
                          <w:szCs w:val="21"/>
                        </w:rPr>
                      </w:pPr>
                      <w:r>
                        <w:rPr>
                          <w:rFonts w:hint="eastAsia"/>
                          <w:b/>
                          <w:szCs w:val="21"/>
                        </w:rPr>
                        <w:t>第十七条</w:t>
                      </w:r>
                      <w:r>
                        <w:rPr>
                          <w:rFonts w:hint="eastAsia"/>
                          <w:szCs w:val="21"/>
                        </w:rPr>
                        <w:t xml:space="preserve"> 保修事项：本工程保修事项执行</w:t>
                      </w:r>
                      <w:r>
                        <w:rPr>
                          <w:rFonts w:hint="eastAsia" w:ascii="宋体" w:hAnsi="宋体"/>
                          <w:color w:val="000000"/>
                          <w:szCs w:val="21"/>
                        </w:rPr>
                        <w:t>《建设工程质量管理条例》及马鞍山市有关规定。</w:t>
                      </w:r>
                    </w:p>
                    <w:p w14:paraId="41F74EC7">
                      <w:pPr>
                        <w:pStyle w:val="2"/>
                        <w:widowControl/>
                        <w:snapToGrid w:val="0"/>
                        <w:spacing w:line="280" w:lineRule="exact"/>
                        <w:ind w:firstLine="422" w:firstLineChars="200"/>
                        <w:rPr>
                          <w:b/>
                          <w:color w:val="00B050"/>
                          <w:szCs w:val="21"/>
                          <w:u w:val="single"/>
                        </w:rPr>
                      </w:pPr>
                      <w:r>
                        <w:rPr>
                          <w:rFonts w:hint="eastAsia"/>
                          <w:b/>
                          <w:szCs w:val="21"/>
                        </w:rPr>
                        <w:t xml:space="preserve">第十八条 </w:t>
                      </w:r>
                      <w:r>
                        <w:rPr>
                          <w:rFonts w:hint="eastAsia"/>
                          <w:szCs w:val="21"/>
                        </w:rPr>
                        <w:t>其他事项</w:t>
                      </w:r>
                      <w:r>
                        <w:rPr>
                          <w:rFonts w:hint="eastAsia"/>
                          <w:b/>
                          <w:szCs w:val="21"/>
                        </w:rPr>
                        <w:t>：1、</w:t>
                      </w:r>
                      <w:r>
                        <w:rPr>
                          <w:rFonts w:hint="eastAsia"/>
                          <w:b/>
                          <w:color w:val="00B050"/>
                          <w:szCs w:val="21"/>
                        </w:rPr>
                        <w:t>签订合同时承揽人需明确项目负责人及项目管理班子人员名单，作为为合同附件。</w:t>
                      </w:r>
                      <w:r>
                        <w:rPr>
                          <w:rFonts w:hint="eastAsia"/>
                          <w:color w:val="00B050"/>
                          <w:szCs w:val="21"/>
                        </w:rPr>
                        <w:t>2、双方有争议，协商解决。协商不成，提交马鞍山仲裁委员会仲裁。</w:t>
                      </w:r>
                    </w:p>
                  </w:txbxContent>
                </v:textbox>
              </v:shape>
            </w:pict>
          </mc:Fallback>
        </mc:AlternateContent>
      </w:r>
      <w:r>
        <w:rPr>
          <w:rFonts w:hint="eastAsia" w:ascii="宋体" w:hAnsi="宋体" w:eastAsia="宋体" w:cs="宋体"/>
          <w:b/>
          <w:bCs/>
          <w:sz w:val="32"/>
        </w:rPr>
        <w:t>承  揽  合  同</w:t>
      </w:r>
    </w:p>
    <w:bookmarkEnd w:id="0"/>
    <w:p w14:paraId="4468B227">
      <w:pPr>
        <w:spacing w:line="360" w:lineRule="exact"/>
        <w:rPr>
          <w:rFonts w:hint="eastAsia" w:ascii="仿宋" w:hAnsi="仿宋" w:eastAsia="仿宋" w:cs="仿宋"/>
          <w:sz w:val="24"/>
          <w:szCs w:val="24"/>
          <w:u w:val="single"/>
        </w:rPr>
      </w:pPr>
      <w:r>
        <w:rPr>
          <w:rFonts w:hint="eastAsia" w:ascii="宋体" w:hAnsi="宋体" w:eastAsia="宋体" w:cs="宋体"/>
          <w:sz w:val="24"/>
        </w:rPr>
        <w:t xml:space="preserve">                                              </w:t>
      </w:r>
      <w:r>
        <w:rPr>
          <w:rFonts w:hint="eastAsia" w:ascii="宋体" w:hAnsi="宋体" w:cs="宋体"/>
          <w:sz w:val="24"/>
          <w:lang w:val="en-US" w:eastAsia="zh-CN"/>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合同编号：</w:t>
      </w:r>
      <w:r>
        <w:rPr>
          <w:rFonts w:hint="eastAsia" w:ascii="仿宋" w:hAnsi="仿宋" w:eastAsia="仿宋" w:cs="仿宋"/>
          <w:sz w:val="24"/>
          <w:szCs w:val="24"/>
          <w:u w:val="single"/>
        </w:rPr>
        <w:t xml:space="preserve">                    </w:t>
      </w:r>
    </w:p>
    <w:p w14:paraId="28FEE0AC">
      <w:pPr>
        <w:spacing w:line="360" w:lineRule="exact"/>
        <w:rPr>
          <w:rFonts w:hint="eastAsia" w:ascii="仿宋" w:hAnsi="仿宋" w:eastAsia="仿宋" w:cs="仿宋"/>
          <w:b/>
          <w:sz w:val="24"/>
          <w:szCs w:val="24"/>
          <w:u w:val="single"/>
        </w:rPr>
      </w:pPr>
      <w:r>
        <w:rPr>
          <w:rFonts w:hint="eastAsia" w:ascii="仿宋" w:hAnsi="仿宋" w:eastAsia="仿宋" w:cs="仿宋"/>
          <w:sz w:val="24"/>
          <w:szCs w:val="24"/>
        </w:rPr>
        <w:t>定作人：</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签订地点：</w:t>
      </w:r>
      <w:r>
        <w:rPr>
          <w:rFonts w:hint="eastAsia" w:ascii="仿宋" w:hAnsi="仿宋" w:eastAsia="仿宋" w:cs="仿宋"/>
          <w:sz w:val="24"/>
          <w:szCs w:val="24"/>
          <w:u w:val="single"/>
        </w:rPr>
        <w:t xml:space="preserve">  马鞍山市          </w:t>
      </w:r>
    </w:p>
    <w:p w14:paraId="044BEFD1">
      <w:pPr>
        <w:spacing w:line="360" w:lineRule="exact"/>
        <w:rPr>
          <w:rFonts w:hint="eastAsia" w:ascii="仿宋" w:hAnsi="仿宋" w:eastAsia="仿宋" w:cs="仿宋"/>
          <w:sz w:val="24"/>
          <w:szCs w:val="24"/>
        </w:rPr>
      </w:pPr>
      <w:r>
        <w:rPr>
          <w:rFonts w:hint="eastAsia" w:ascii="仿宋" w:hAnsi="仿宋" w:eastAsia="仿宋" w:cs="仿宋"/>
          <w:sz w:val="24"/>
          <w:szCs w:val="24"/>
        </w:rPr>
        <w:t>承揽人：</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签订时间：</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10ECEC6B">
      <w:pPr>
        <w:spacing w:line="360" w:lineRule="exact"/>
        <w:rPr>
          <w:rFonts w:hint="eastAsia" w:ascii="仿宋" w:hAnsi="仿宋" w:eastAsia="仿宋" w:cs="仿宋"/>
          <w:sz w:val="24"/>
          <w:szCs w:val="24"/>
        </w:rPr>
      </w:pPr>
      <w:r>
        <w:rPr>
          <w:rFonts w:hint="eastAsia" w:ascii="仿宋" w:hAnsi="仿宋" w:eastAsia="仿宋" w:cs="仿宋"/>
          <w:b/>
          <w:sz w:val="24"/>
          <w:szCs w:val="24"/>
        </w:rPr>
        <w:t xml:space="preserve">第一条 </w:t>
      </w:r>
      <w:r>
        <w:rPr>
          <w:rFonts w:hint="eastAsia" w:ascii="仿宋" w:hAnsi="仿宋" w:eastAsia="仿宋" w:cs="仿宋"/>
          <w:sz w:val="24"/>
          <w:szCs w:val="24"/>
        </w:rPr>
        <w:t xml:space="preserve">承揽项目名称、承包范围及施工内容、合同价款及交付期限 </w:t>
      </w:r>
    </w:p>
    <w:tbl>
      <w:tblPr>
        <w:tblStyle w:val="6"/>
        <w:tblW w:w="96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3260"/>
        <w:gridCol w:w="2904"/>
        <w:gridCol w:w="1348"/>
      </w:tblGrid>
      <w:tr w14:paraId="3BB4F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 w:hRule="atLeast"/>
        </w:trPr>
        <w:tc>
          <w:tcPr>
            <w:tcW w:w="2093" w:type="dxa"/>
            <w:vAlign w:val="center"/>
          </w:tcPr>
          <w:p w14:paraId="17D0C1BA">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项目名称</w:t>
            </w:r>
          </w:p>
        </w:tc>
        <w:tc>
          <w:tcPr>
            <w:tcW w:w="3260" w:type="dxa"/>
            <w:vAlign w:val="center"/>
          </w:tcPr>
          <w:p w14:paraId="7A6A7358">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承包范围及施工内容</w:t>
            </w:r>
          </w:p>
        </w:tc>
        <w:tc>
          <w:tcPr>
            <w:tcW w:w="2904" w:type="dxa"/>
            <w:vAlign w:val="center"/>
          </w:tcPr>
          <w:p w14:paraId="38019D0D">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合同价款（元）</w:t>
            </w:r>
          </w:p>
        </w:tc>
        <w:tc>
          <w:tcPr>
            <w:tcW w:w="1348" w:type="dxa"/>
            <w:vAlign w:val="center"/>
          </w:tcPr>
          <w:p w14:paraId="71B5DB55">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工期</w:t>
            </w:r>
          </w:p>
        </w:tc>
      </w:tr>
      <w:tr w14:paraId="4E09C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2" w:hRule="atLeast"/>
        </w:trPr>
        <w:tc>
          <w:tcPr>
            <w:tcW w:w="2093" w:type="dxa"/>
            <w:tcBorders>
              <w:bottom w:val="single" w:color="auto" w:sz="4" w:space="0"/>
            </w:tcBorders>
            <w:vAlign w:val="center"/>
          </w:tcPr>
          <w:p w14:paraId="7C047D07">
            <w:pPr>
              <w:spacing w:line="240" w:lineRule="auto"/>
              <w:rPr>
                <w:rFonts w:hint="eastAsia" w:ascii="仿宋" w:hAnsi="仿宋" w:eastAsia="仿宋" w:cs="仿宋"/>
                <w:b/>
                <w:sz w:val="24"/>
                <w:szCs w:val="24"/>
                <w:lang w:eastAsia="zh-CN"/>
              </w:rPr>
            </w:pPr>
          </w:p>
        </w:tc>
        <w:tc>
          <w:tcPr>
            <w:tcW w:w="3260" w:type="dxa"/>
            <w:tcBorders>
              <w:bottom w:val="single" w:color="auto" w:sz="4" w:space="0"/>
            </w:tcBorders>
            <w:vAlign w:val="center"/>
          </w:tcPr>
          <w:p w14:paraId="01D20E03">
            <w:pPr>
              <w:spacing w:line="240" w:lineRule="auto"/>
              <w:jc w:val="center"/>
              <w:rPr>
                <w:rFonts w:hint="eastAsia" w:ascii="仿宋" w:hAnsi="仿宋" w:eastAsia="仿宋" w:cs="仿宋"/>
                <w:sz w:val="24"/>
                <w:szCs w:val="24"/>
              </w:rPr>
            </w:pPr>
            <w:r>
              <w:rPr>
                <w:rFonts w:hint="eastAsia" w:ascii="仿宋" w:hAnsi="仿宋" w:eastAsia="仿宋" w:cs="仿宋"/>
                <w:color w:val="auto"/>
                <w:kern w:val="0"/>
                <w:sz w:val="24"/>
                <w:szCs w:val="24"/>
                <w:lang w:eastAsia="zh-CN"/>
              </w:rPr>
              <w:t>工程施工范围内的施工承包（详见工程量清单）</w:t>
            </w:r>
          </w:p>
        </w:tc>
        <w:tc>
          <w:tcPr>
            <w:tcW w:w="2904" w:type="dxa"/>
            <w:tcBorders>
              <w:top w:val="nil"/>
              <w:bottom w:val="single" w:color="auto" w:sz="4" w:space="0"/>
            </w:tcBorders>
            <w:vAlign w:val="center"/>
          </w:tcPr>
          <w:p w14:paraId="0267E467">
            <w:pPr>
              <w:spacing w:line="240" w:lineRule="auto"/>
              <w:jc w:val="left"/>
              <w:rPr>
                <w:rFonts w:hint="eastAsia" w:ascii="仿宋" w:hAnsi="仿宋" w:eastAsia="仿宋" w:cs="仿宋"/>
                <w:b/>
                <w:sz w:val="24"/>
                <w:szCs w:val="24"/>
                <w:lang w:val="en-US" w:eastAsia="zh-CN"/>
              </w:rPr>
            </w:pPr>
            <w:r>
              <w:rPr>
                <w:rFonts w:hint="eastAsia" w:ascii="仿宋" w:hAnsi="仿宋" w:eastAsia="仿宋" w:cs="仿宋"/>
                <w:b/>
                <w:sz w:val="24"/>
                <w:szCs w:val="24"/>
              </w:rPr>
              <w:t>（小写）：</w:t>
            </w:r>
            <w:r>
              <w:rPr>
                <w:rFonts w:hint="eastAsia" w:ascii="仿宋" w:hAnsi="仿宋" w:eastAsia="仿宋" w:cs="仿宋"/>
                <w:b/>
                <w:sz w:val="24"/>
                <w:szCs w:val="24"/>
                <w:lang w:val="en-US" w:eastAsia="zh-CN"/>
              </w:rPr>
              <w:t>¥    元</w:t>
            </w:r>
          </w:p>
        </w:tc>
        <w:tc>
          <w:tcPr>
            <w:tcW w:w="1348" w:type="dxa"/>
            <w:vAlign w:val="center"/>
          </w:tcPr>
          <w:p w14:paraId="686BB52A">
            <w:pPr>
              <w:spacing w:line="240" w:lineRule="auto"/>
              <w:jc w:val="left"/>
              <w:rPr>
                <w:rFonts w:hint="eastAsia" w:ascii="仿宋" w:hAnsi="仿宋" w:eastAsia="仿宋" w:cs="仿宋"/>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日历天</w:t>
            </w:r>
          </w:p>
        </w:tc>
      </w:tr>
      <w:tr w14:paraId="261E9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9605" w:type="dxa"/>
            <w:gridSpan w:val="4"/>
            <w:vAlign w:val="center"/>
          </w:tcPr>
          <w:p w14:paraId="5A143D2B">
            <w:pPr>
              <w:spacing w:line="240" w:lineRule="auto"/>
              <w:rPr>
                <w:rFonts w:hint="eastAsia" w:ascii="仿宋" w:hAnsi="仿宋" w:eastAsia="仿宋" w:cs="仿宋"/>
                <w:b/>
                <w:sz w:val="24"/>
                <w:szCs w:val="24"/>
              </w:rPr>
            </w:pPr>
            <w:r>
              <w:rPr>
                <w:rFonts w:hint="eastAsia" w:ascii="仿宋" w:hAnsi="仿宋" w:eastAsia="仿宋" w:cs="仿宋"/>
                <w:b/>
                <w:sz w:val="24"/>
                <w:szCs w:val="24"/>
              </w:rPr>
              <w:t>合计人民币金额（大写）：</w:t>
            </w:r>
            <w:r>
              <w:rPr>
                <w:rFonts w:hint="eastAsia" w:ascii="仿宋" w:hAnsi="仿宋" w:eastAsia="仿宋" w:cs="仿宋"/>
                <w:b/>
                <w:sz w:val="24"/>
                <w:szCs w:val="24"/>
                <w:lang w:eastAsia="zh-CN"/>
              </w:rPr>
              <w:t>人民币</w:t>
            </w:r>
          </w:p>
        </w:tc>
      </w:tr>
    </w:tbl>
    <w:p w14:paraId="1A0B2BE6">
      <w:pPr>
        <w:keepNext w:val="0"/>
        <w:keepLines w:val="0"/>
        <w:pageBreakBefore w:val="0"/>
        <w:kinsoku/>
        <w:wordWrap/>
        <w:overflowPunct/>
        <w:topLinePunct w:val="0"/>
        <w:autoSpaceDE/>
        <w:autoSpaceDN/>
        <w:bidi w:val="0"/>
        <w:spacing w:line="360" w:lineRule="exact"/>
        <w:textAlignment w:val="auto"/>
        <w:rPr>
          <w:rFonts w:hint="eastAsia" w:ascii="仿宋" w:hAnsi="仿宋" w:eastAsia="仿宋" w:cs="仿宋"/>
          <w:sz w:val="24"/>
          <w:szCs w:val="24"/>
          <w:u w:val="single"/>
        </w:rPr>
      </w:pPr>
      <w:r>
        <w:rPr>
          <w:rFonts w:hint="eastAsia" w:ascii="仿宋" w:hAnsi="仿宋" w:eastAsia="仿宋" w:cs="仿宋"/>
          <w:b/>
          <w:sz w:val="24"/>
          <w:szCs w:val="24"/>
        </w:rPr>
        <w:t xml:space="preserve">第二条 </w:t>
      </w:r>
      <w:r>
        <w:rPr>
          <w:rFonts w:hint="eastAsia" w:ascii="仿宋" w:hAnsi="仿宋" w:eastAsia="仿宋" w:cs="仿宋"/>
          <w:sz w:val="24"/>
          <w:szCs w:val="24"/>
        </w:rPr>
        <w:t>技术标准、质量要求：</w:t>
      </w:r>
      <w:r>
        <w:rPr>
          <w:rFonts w:hint="eastAsia" w:ascii="仿宋" w:hAnsi="仿宋" w:eastAsia="仿宋" w:cs="仿宋"/>
          <w:sz w:val="24"/>
          <w:szCs w:val="24"/>
          <w:u w:val="single"/>
        </w:rPr>
        <w:t>按现行国家标准、验收规范及定作人提供的图纸和施工内容依法施工，工程竣工验收达到国家合格标准要求。未尽事宜，由定作人现场确定。</w:t>
      </w:r>
    </w:p>
    <w:p w14:paraId="6D28B415">
      <w:pPr>
        <w:keepNext w:val="0"/>
        <w:keepLines w:val="0"/>
        <w:pageBreakBefore w:val="0"/>
        <w:kinsoku/>
        <w:wordWrap/>
        <w:overflowPunct/>
        <w:topLinePunct w:val="0"/>
        <w:autoSpaceDE/>
        <w:autoSpaceDN/>
        <w:bidi w:val="0"/>
        <w:spacing w:line="360" w:lineRule="exact"/>
        <w:textAlignment w:val="auto"/>
        <w:rPr>
          <w:rFonts w:hint="eastAsia" w:ascii="仿宋" w:hAnsi="仿宋" w:eastAsia="仿宋" w:cs="仿宋"/>
          <w:b/>
          <w:sz w:val="24"/>
          <w:szCs w:val="24"/>
        </w:rPr>
      </w:pPr>
      <w:r>
        <w:rPr>
          <w:rFonts w:hint="eastAsia" w:ascii="仿宋" w:hAnsi="仿宋" w:eastAsia="仿宋" w:cs="仿宋"/>
          <w:b/>
          <w:sz w:val="24"/>
          <w:szCs w:val="24"/>
        </w:rPr>
        <w:t xml:space="preserve">第三条 </w:t>
      </w:r>
      <w:r>
        <w:rPr>
          <w:rFonts w:hint="eastAsia" w:ascii="仿宋" w:hAnsi="仿宋" w:eastAsia="仿宋" w:cs="仿宋"/>
          <w:sz w:val="24"/>
          <w:szCs w:val="24"/>
        </w:rPr>
        <w:t>本项目负责人：</w:t>
      </w:r>
      <w:r>
        <w:rPr>
          <w:rFonts w:hint="eastAsia" w:ascii="仿宋" w:hAnsi="仿宋" w:eastAsia="仿宋" w:cs="仿宋"/>
          <w:sz w:val="24"/>
          <w:szCs w:val="24"/>
          <w:u w:val="single"/>
        </w:rPr>
        <w:t xml:space="preserve">                     </w:t>
      </w:r>
    </w:p>
    <w:p w14:paraId="2240FDEC">
      <w:pPr>
        <w:keepNext w:val="0"/>
        <w:keepLines w:val="0"/>
        <w:pageBreakBefore w:val="0"/>
        <w:kinsoku/>
        <w:wordWrap/>
        <w:overflowPunct/>
        <w:topLinePunct w:val="0"/>
        <w:autoSpaceDE/>
        <w:autoSpaceDN/>
        <w:bidi w:val="0"/>
        <w:spacing w:line="360" w:lineRule="exact"/>
        <w:textAlignment w:val="auto"/>
        <w:rPr>
          <w:rFonts w:hint="eastAsia" w:ascii="仿宋" w:hAnsi="仿宋" w:eastAsia="仿宋" w:cs="仿宋"/>
          <w:sz w:val="24"/>
          <w:szCs w:val="24"/>
          <w:u w:val="single"/>
        </w:rPr>
      </w:pPr>
      <w:r>
        <w:rPr>
          <w:rFonts w:hint="eastAsia" w:ascii="仿宋" w:hAnsi="仿宋" w:eastAsia="仿宋" w:cs="仿宋"/>
          <w:b/>
          <w:sz w:val="24"/>
          <w:szCs w:val="24"/>
        </w:rPr>
        <w:t xml:space="preserve">第四条 </w:t>
      </w:r>
      <w:r>
        <w:rPr>
          <w:rFonts w:hint="eastAsia" w:ascii="仿宋" w:hAnsi="仿宋" w:eastAsia="仿宋" w:cs="仿宋"/>
          <w:sz w:val="24"/>
          <w:szCs w:val="24"/>
        </w:rPr>
        <w:t>承揽人对质量负责的期限条件：</w:t>
      </w:r>
      <w:r>
        <w:rPr>
          <w:rFonts w:hint="eastAsia" w:ascii="仿宋" w:hAnsi="仿宋" w:eastAsia="仿宋" w:cs="仿宋"/>
          <w:sz w:val="24"/>
          <w:szCs w:val="24"/>
          <w:u w:val="single"/>
        </w:rPr>
        <w:t xml:space="preserve"> 按有关规定执行。 </w:t>
      </w:r>
    </w:p>
    <w:p w14:paraId="30562FE7">
      <w:pPr>
        <w:keepNext w:val="0"/>
        <w:keepLines w:val="0"/>
        <w:pageBreakBefore w:val="0"/>
        <w:kinsoku/>
        <w:wordWrap/>
        <w:overflowPunct/>
        <w:topLinePunct w:val="0"/>
        <w:autoSpaceDE/>
        <w:autoSpaceDN/>
        <w:bidi w:val="0"/>
        <w:spacing w:line="360" w:lineRule="exact"/>
        <w:textAlignment w:val="auto"/>
        <w:rPr>
          <w:rFonts w:hint="eastAsia" w:ascii="仿宋" w:hAnsi="仿宋" w:eastAsia="仿宋" w:cs="仿宋"/>
          <w:sz w:val="24"/>
          <w:szCs w:val="24"/>
          <w:u w:val="single"/>
        </w:rPr>
      </w:pPr>
      <w:r>
        <w:rPr>
          <w:rFonts w:hint="eastAsia" w:ascii="仿宋" w:hAnsi="仿宋" w:eastAsia="仿宋" w:cs="仿宋"/>
          <w:b/>
          <w:sz w:val="24"/>
          <w:szCs w:val="24"/>
        </w:rPr>
        <w:t xml:space="preserve">第五条 </w:t>
      </w:r>
      <w:r>
        <w:rPr>
          <w:rFonts w:hint="eastAsia" w:ascii="仿宋" w:hAnsi="仿宋" w:eastAsia="仿宋" w:cs="仿宋"/>
          <w:sz w:val="24"/>
          <w:szCs w:val="24"/>
        </w:rPr>
        <w:t>定作人提供技术资料、图纸等的时间、办法及保密要求：</w:t>
      </w:r>
      <w:r>
        <w:rPr>
          <w:rFonts w:hint="eastAsia" w:ascii="仿宋" w:hAnsi="仿宋" w:eastAsia="仿宋" w:cs="仿宋"/>
          <w:sz w:val="24"/>
          <w:szCs w:val="24"/>
          <w:u w:val="single"/>
        </w:rPr>
        <w:t xml:space="preserve"> 开工前三天提供三套图纸，图纸仅限本工程使用，不得泄露给第三方。（如有）</w:t>
      </w:r>
    </w:p>
    <w:p w14:paraId="4DFF1C48">
      <w:pPr>
        <w:keepNext w:val="0"/>
        <w:keepLines w:val="0"/>
        <w:pageBreakBefore w:val="0"/>
        <w:kinsoku/>
        <w:wordWrap/>
        <w:overflowPunct/>
        <w:topLinePunct w:val="0"/>
        <w:autoSpaceDE/>
        <w:autoSpaceDN/>
        <w:bidi w:val="0"/>
        <w:spacing w:line="360" w:lineRule="exact"/>
        <w:textAlignment w:val="auto"/>
        <w:rPr>
          <w:rFonts w:hint="eastAsia" w:ascii="仿宋" w:hAnsi="仿宋" w:eastAsia="仿宋" w:cs="仿宋"/>
          <w:sz w:val="24"/>
          <w:szCs w:val="24"/>
        </w:rPr>
      </w:pPr>
      <w:r>
        <w:rPr>
          <w:rFonts w:hint="eastAsia" w:ascii="仿宋" w:hAnsi="仿宋" w:eastAsia="仿宋" w:cs="仿宋"/>
          <w:b/>
          <w:sz w:val="24"/>
          <w:szCs w:val="24"/>
        </w:rPr>
        <w:t xml:space="preserve">第六条 </w:t>
      </w:r>
      <w:r>
        <w:rPr>
          <w:rFonts w:hint="eastAsia" w:ascii="仿宋" w:hAnsi="仿宋" w:eastAsia="仿宋" w:cs="仿宋"/>
          <w:sz w:val="24"/>
          <w:szCs w:val="24"/>
        </w:rPr>
        <w:t>承揽人使用的材料由</w:t>
      </w:r>
      <w:r>
        <w:rPr>
          <w:rFonts w:hint="eastAsia" w:ascii="仿宋" w:hAnsi="仿宋" w:eastAsia="仿宋" w:cs="仿宋"/>
          <w:sz w:val="24"/>
          <w:szCs w:val="24"/>
          <w:u w:val="single"/>
        </w:rPr>
        <w:t>承揽人</w:t>
      </w:r>
      <w:r>
        <w:rPr>
          <w:rFonts w:hint="eastAsia" w:ascii="仿宋" w:hAnsi="仿宋" w:eastAsia="仿宋" w:cs="仿宋"/>
          <w:sz w:val="24"/>
          <w:szCs w:val="24"/>
        </w:rPr>
        <w:t>提供，经定作人认可，且经检测部门检测合格。材料的检验方法：</w:t>
      </w:r>
      <w:r>
        <w:rPr>
          <w:rFonts w:hint="eastAsia" w:ascii="仿宋" w:hAnsi="仿宋" w:eastAsia="仿宋" w:cs="仿宋"/>
          <w:sz w:val="24"/>
          <w:szCs w:val="24"/>
          <w:u w:val="single"/>
        </w:rPr>
        <w:t xml:space="preserve">按有关国家规定执行。 </w:t>
      </w:r>
    </w:p>
    <w:p w14:paraId="7D8E70B0">
      <w:pPr>
        <w:keepNext w:val="0"/>
        <w:keepLines w:val="0"/>
        <w:pageBreakBefore w:val="0"/>
        <w:kinsoku/>
        <w:wordWrap/>
        <w:overflowPunct/>
        <w:topLinePunct w:val="0"/>
        <w:autoSpaceDE/>
        <w:autoSpaceDN/>
        <w:bidi w:val="0"/>
        <w:spacing w:line="360" w:lineRule="exact"/>
        <w:textAlignment w:val="auto"/>
        <w:rPr>
          <w:rFonts w:hint="eastAsia" w:ascii="仿宋" w:hAnsi="仿宋" w:eastAsia="仿宋" w:cs="仿宋"/>
          <w:sz w:val="24"/>
          <w:szCs w:val="24"/>
          <w:u w:val="single"/>
        </w:rPr>
      </w:pPr>
      <w:r>
        <w:rPr>
          <w:rFonts w:hint="eastAsia" w:ascii="仿宋" w:hAnsi="仿宋" w:eastAsia="仿宋" w:cs="仿宋"/>
          <w:b/>
          <w:sz w:val="24"/>
          <w:szCs w:val="24"/>
        </w:rPr>
        <w:t>第七条</w:t>
      </w:r>
      <w:r>
        <w:rPr>
          <w:rFonts w:hint="eastAsia" w:ascii="仿宋" w:hAnsi="仿宋" w:eastAsia="仿宋" w:cs="仿宋"/>
          <w:sz w:val="24"/>
          <w:szCs w:val="24"/>
        </w:rPr>
        <w:t xml:space="preserve"> 定作人</w:t>
      </w:r>
      <w:r>
        <w:rPr>
          <w:rFonts w:hint="eastAsia" w:ascii="仿宋" w:hAnsi="仿宋" w:eastAsia="仿宋" w:cs="仿宋"/>
          <w:sz w:val="24"/>
          <w:szCs w:val="24"/>
          <w:u w:val="single"/>
        </w:rPr>
        <w:t>不允许</w:t>
      </w:r>
      <w:r>
        <w:rPr>
          <w:rFonts w:hint="eastAsia" w:ascii="仿宋" w:hAnsi="仿宋" w:eastAsia="仿宋" w:cs="仿宋"/>
          <w:sz w:val="24"/>
          <w:szCs w:val="24"/>
        </w:rPr>
        <w:t>将承揽项目中的主要工作交由第三人来完成。可以交由第三人完成的工作是：</w:t>
      </w:r>
      <w:r>
        <w:rPr>
          <w:rFonts w:hint="eastAsia" w:ascii="仿宋" w:hAnsi="仿宋" w:eastAsia="仿宋" w:cs="仿宋"/>
          <w:sz w:val="24"/>
          <w:szCs w:val="24"/>
          <w:u w:val="single"/>
        </w:rPr>
        <w:t>/。</w:t>
      </w:r>
    </w:p>
    <w:p w14:paraId="469A0498">
      <w:pPr>
        <w:keepNext w:val="0"/>
        <w:keepLines w:val="0"/>
        <w:pageBreakBefore w:val="0"/>
        <w:kinsoku/>
        <w:wordWrap/>
        <w:overflowPunct/>
        <w:topLinePunct w:val="0"/>
        <w:autoSpaceDE/>
        <w:autoSpaceDN/>
        <w:bidi w:val="0"/>
        <w:spacing w:line="360" w:lineRule="exact"/>
        <w:textAlignment w:val="auto"/>
        <w:rPr>
          <w:rFonts w:hint="eastAsia" w:ascii="仿宋" w:hAnsi="仿宋" w:eastAsia="仿宋" w:cs="仿宋"/>
          <w:sz w:val="24"/>
          <w:szCs w:val="24"/>
          <w:u w:val="single"/>
        </w:rPr>
      </w:pPr>
      <w:r>
        <w:rPr>
          <w:rFonts w:hint="eastAsia" w:ascii="仿宋" w:hAnsi="仿宋" w:eastAsia="仿宋" w:cs="仿宋"/>
          <w:b/>
          <w:sz w:val="24"/>
          <w:szCs w:val="24"/>
        </w:rPr>
        <w:t>第八条</w:t>
      </w:r>
      <w:r>
        <w:rPr>
          <w:rFonts w:hint="eastAsia" w:ascii="仿宋" w:hAnsi="仿宋" w:eastAsia="仿宋" w:cs="仿宋"/>
          <w:sz w:val="24"/>
          <w:szCs w:val="24"/>
        </w:rPr>
        <w:t xml:space="preserve"> 工作成果检验标准、方法和期限：</w:t>
      </w:r>
      <w:r>
        <w:rPr>
          <w:rFonts w:hint="eastAsia" w:ascii="仿宋" w:hAnsi="仿宋" w:eastAsia="仿宋" w:cs="仿宋"/>
          <w:sz w:val="24"/>
          <w:szCs w:val="24"/>
          <w:u w:val="single"/>
        </w:rPr>
        <w:t>工程竣工后，由定作人按有关国家有关规定组织检验、验收。</w:t>
      </w:r>
    </w:p>
    <w:p w14:paraId="55CD6FE6">
      <w:pPr>
        <w:keepNext w:val="0"/>
        <w:keepLines w:val="0"/>
        <w:pageBreakBefore w:val="0"/>
        <w:kinsoku/>
        <w:wordWrap/>
        <w:overflowPunct/>
        <w:topLinePunct w:val="0"/>
        <w:autoSpaceDE/>
        <w:autoSpaceDN/>
        <w:bidi w:val="0"/>
        <w:spacing w:line="360" w:lineRule="exact"/>
        <w:textAlignment w:val="auto"/>
        <w:rPr>
          <w:rFonts w:hint="eastAsia" w:ascii="仿宋" w:hAnsi="仿宋" w:eastAsia="仿宋" w:cs="仿宋"/>
          <w:bCs/>
          <w:color w:val="000000"/>
          <w:sz w:val="24"/>
          <w:szCs w:val="24"/>
          <w:u w:val="single"/>
        </w:rPr>
      </w:pPr>
      <w:r>
        <w:rPr>
          <w:rFonts w:hint="eastAsia" w:ascii="仿宋" w:hAnsi="仿宋" w:eastAsia="仿宋" w:cs="仿宋"/>
          <w:b/>
          <w:sz w:val="24"/>
          <w:szCs w:val="24"/>
        </w:rPr>
        <w:t>第九条</w:t>
      </w:r>
      <w:r>
        <w:rPr>
          <w:rFonts w:hint="eastAsia" w:ascii="仿宋" w:hAnsi="仿宋" w:eastAsia="仿宋" w:cs="仿宋"/>
          <w:sz w:val="24"/>
          <w:szCs w:val="24"/>
        </w:rPr>
        <w:t xml:space="preserve"> 安全要求：</w:t>
      </w:r>
      <w:r>
        <w:rPr>
          <w:rFonts w:hint="eastAsia" w:ascii="仿宋" w:hAnsi="仿宋" w:eastAsia="仿宋" w:cs="仿宋"/>
          <w:sz w:val="24"/>
          <w:szCs w:val="24"/>
          <w:u w:val="single"/>
        </w:rPr>
        <w:t>承揽人</w:t>
      </w:r>
      <w:r>
        <w:rPr>
          <w:rFonts w:hint="eastAsia" w:ascii="仿宋" w:hAnsi="仿宋" w:eastAsia="仿宋" w:cs="仿宋"/>
          <w:bCs/>
          <w:color w:val="000000"/>
          <w:sz w:val="24"/>
          <w:szCs w:val="24"/>
          <w:u w:val="single"/>
        </w:rPr>
        <w:t>应负责工程范围内施工期间交通安全，对危及交通安全的施工部位，必须设置安全标志或防护设施</w:t>
      </w:r>
      <w:r>
        <w:rPr>
          <w:rFonts w:hint="eastAsia" w:ascii="仿宋" w:hAnsi="仿宋" w:eastAsia="仿宋" w:cs="仿宋"/>
          <w:bCs/>
          <w:sz w:val="24"/>
          <w:szCs w:val="24"/>
          <w:u w:val="single"/>
        </w:rPr>
        <w:t>，</w:t>
      </w:r>
      <w:r>
        <w:rPr>
          <w:rFonts w:hint="eastAsia" w:ascii="仿宋" w:hAnsi="仿宋" w:eastAsia="仿宋" w:cs="仿宋"/>
          <w:bCs/>
          <w:color w:val="000000"/>
          <w:sz w:val="24"/>
          <w:szCs w:val="24"/>
          <w:u w:val="single"/>
        </w:rPr>
        <w:t>凡属</w:t>
      </w:r>
      <w:r>
        <w:rPr>
          <w:rFonts w:hint="eastAsia" w:ascii="仿宋" w:hAnsi="仿宋" w:eastAsia="仿宋" w:cs="仿宋"/>
          <w:sz w:val="24"/>
          <w:szCs w:val="24"/>
          <w:u w:val="single"/>
        </w:rPr>
        <w:t>承揽人</w:t>
      </w:r>
      <w:r>
        <w:rPr>
          <w:rFonts w:hint="eastAsia" w:ascii="仿宋" w:hAnsi="仿宋" w:eastAsia="仿宋" w:cs="仿宋"/>
          <w:bCs/>
          <w:color w:val="000000"/>
          <w:sz w:val="24"/>
          <w:szCs w:val="24"/>
          <w:u w:val="single"/>
        </w:rPr>
        <w:t>造成的交通事故，由</w:t>
      </w:r>
      <w:r>
        <w:rPr>
          <w:rFonts w:hint="eastAsia" w:ascii="仿宋" w:hAnsi="仿宋" w:eastAsia="仿宋" w:cs="仿宋"/>
          <w:sz w:val="24"/>
          <w:szCs w:val="24"/>
          <w:u w:val="single"/>
        </w:rPr>
        <w:t>承揽人</w:t>
      </w:r>
      <w:r>
        <w:rPr>
          <w:rFonts w:hint="eastAsia" w:ascii="仿宋" w:hAnsi="仿宋" w:eastAsia="仿宋" w:cs="仿宋"/>
          <w:bCs/>
          <w:color w:val="000000"/>
          <w:sz w:val="24"/>
          <w:szCs w:val="24"/>
          <w:u w:val="single"/>
        </w:rPr>
        <w:t>负责，定作人不承担任何责任和费用。</w:t>
      </w:r>
      <w:r>
        <w:rPr>
          <w:rFonts w:hint="eastAsia" w:ascii="仿宋" w:hAnsi="仿宋" w:eastAsia="仿宋" w:cs="仿宋"/>
          <w:sz w:val="24"/>
          <w:szCs w:val="24"/>
          <w:u w:val="single"/>
        </w:rPr>
        <w:t>承揽人</w:t>
      </w:r>
      <w:r>
        <w:rPr>
          <w:rFonts w:hint="eastAsia" w:ascii="仿宋" w:hAnsi="仿宋" w:eastAsia="仿宋" w:cs="仿宋"/>
          <w:bCs/>
          <w:color w:val="000000"/>
          <w:sz w:val="24"/>
          <w:szCs w:val="24"/>
          <w:u w:val="single"/>
        </w:rPr>
        <w:t>应遵守安全生产管理规定，严格按安全生产标准组织施工，并随时接受行业安全监督检查，采取必要的安全保护措施，消除事故隐患。工程施工范围内的各种杆、管线、树木、邻近房屋，</w:t>
      </w:r>
      <w:r>
        <w:rPr>
          <w:rFonts w:hint="eastAsia" w:ascii="仿宋" w:hAnsi="仿宋" w:eastAsia="仿宋" w:cs="仿宋"/>
          <w:sz w:val="24"/>
          <w:szCs w:val="24"/>
          <w:u w:val="single"/>
        </w:rPr>
        <w:t>承揽人</w:t>
      </w:r>
      <w:r>
        <w:rPr>
          <w:rFonts w:hint="eastAsia" w:ascii="仿宋" w:hAnsi="仿宋" w:eastAsia="仿宋" w:cs="仿宋"/>
          <w:bCs/>
          <w:color w:val="000000"/>
          <w:sz w:val="24"/>
          <w:szCs w:val="24"/>
          <w:u w:val="single"/>
        </w:rPr>
        <w:t>应根据定作人提供的资料和现场实际情况，在施工过程中妥善保护，如因施工不当或保护不力将杆、管线、树木、房屋损坏，造成的一切损失由承揽人负责。</w:t>
      </w:r>
      <w:r>
        <w:rPr>
          <w:rFonts w:hint="eastAsia" w:ascii="仿宋" w:hAnsi="仿宋" w:eastAsia="仿宋" w:cs="仿宋"/>
          <w:sz w:val="24"/>
          <w:szCs w:val="24"/>
          <w:u w:val="single"/>
        </w:rPr>
        <w:t>承揽人</w:t>
      </w:r>
      <w:r>
        <w:rPr>
          <w:rFonts w:hint="eastAsia" w:ascii="仿宋" w:hAnsi="仿宋" w:eastAsia="仿宋" w:cs="仿宋"/>
          <w:bCs/>
          <w:color w:val="000000"/>
          <w:sz w:val="24"/>
          <w:szCs w:val="24"/>
          <w:u w:val="single"/>
        </w:rPr>
        <w:t>要制定文明施工措施，施工现场采用封闭（围档）施工。</w:t>
      </w:r>
    </w:p>
    <w:p w14:paraId="7EBFC40C">
      <w:pPr>
        <w:spacing w:line="360" w:lineRule="exact"/>
        <w:jc w:val="left"/>
        <w:rPr>
          <w:rFonts w:hint="eastAsia" w:ascii="仿宋" w:hAnsi="仿宋" w:eastAsia="仿宋" w:cs="仿宋"/>
          <w:bCs/>
          <w:color w:val="000000"/>
          <w:sz w:val="24"/>
          <w:szCs w:val="24"/>
          <w:u w:val="single"/>
        </w:rPr>
      </w:pPr>
      <w:r>
        <w:rPr>
          <w:rFonts w:hint="eastAsia" w:ascii="仿宋" w:hAnsi="仿宋" w:eastAsia="仿宋" w:cs="仿宋"/>
          <w:b/>
          <w:sz w:val="24"/>
          <w:szCs w:val="24"/>
        </w:rPr>
        <w:t>第十条</w:t>
      </w:r>
      <w:r>
        <w:rPr>
          <w:rFonts w:hint="eastAsia" w:ascii="仿宋" w:hAnsi="仿宋" w:eastAsia="仿宋" w:cs="仿宋"/>
          <w:sz w:val="24"/>
          <w:szCs w:val="24"/>
        </w:rPr>
        <w:t xml:space="preserve"> 结算方式及期限：</w:t>
      </w:r>
      <w:r>
        <w:rPr>
          <w:rFonts w:hint="eastAsia" w:ascii="仿宋" w:hAnsi="仿宋" w:eastAsia="仿宋" w:cs="仿宋"/>
          <w:bCs/>
          <w:color w:val="000000"/>
          <w:sz w:val="24"/>
          <w:szCs w:val="24"/>
          <w:u w:val="single"/>
        </w:rPr>
        <w:t>本工程在工程竣工验收合格并提交合格、完整的竣工验收资料，定作人付至由监理单位审核已完成合格工程内容金额的70%，结算经第三方审核后付至审核价款的97%，留3%作保修金，保修金期限为竣工验收之日起二年内。</w:t>
      </w:r>
    </w:p>
    <w:p w14:paraId="0E663344">
      <w:pPr>
        <w:keepNext w:val="0"/>
        <w:keepLines w:val="0"/>
        <w:pageBreakBefore w:val="0"/>
        <w:kinsoku/>
        <w:wordWrap/>
        <w:overflowPunct/>
        <w:topLinePunct w:val="0"/>
        <w:autoSpaceDE/>
        <w:autoSpaceDN/>
        <w:bidi w:val="0"/>
        <w:snapToGrid w:val="0"/>
        <w:spacing w:line="360" w:lineRule="exact"/>
        <w:textAlignment w:val="auto"/>
        <w:rPr>
          <w:rFonts w:hint="eastAsia" w:ascii="仿宋" w:hAnsi="仿宋" w:eastAsia="仿宋" w:cs="仿宋"/>
          <w:b/>
          <w:color w:val="FF0000"/>
          <w:sz w:val="24"/>
          <w:szCs w:val="24"/>
        </w:rPr>
      </w:pPr>
      <w:r>
        <w:rPr>
          <w:rFonts w:hint="eastAsia" w:ascii="仿宋" w:hAnsi="仿宋" w:eastAsia="仿宋" w:cs="仿宋"/>
          <w:b/>
          <w:sz w:val="24"/>
          <w:szCs w:val="24"/>
        </w:rPr>
        <w:t>第十一条</w:t>
      </w:r>
      <w:r>
        <w:rPr>
          <w:rFonts w:hint="eastAsia" w:ascii="仿宋" w:hAnsi="仿宋" w:eastAsia="仿宋" w:cs="仿宋"/>
          <w:sz w:val="24"/>
          <w:szCs w:val="24"/>
        </w:rPr>
        <w:t xml:space="preserve"> 合同价款及调整：</w:t>
      </w:r>
      <w:r>
        <w:rPr>
          <w:rFonts w:hint="eastAsia" w:ascii="仿宋" w:hAnsi="仿宋" w:eastAsia="仿宋" w:cs="仿宋"/>
          <w:b/>
          <w:color w:val="FF0000"/>
          <w:sz w:val="24"/>
          <w:szCs w:val="24"/>
        </w:rPr>
        <w:t>本合同采用</w:t>
      </w:r>
      <w:r>
        <w:rPr>
          <w:rFonts w:hint="eastAsia" w:ascii="仿宋" w:hAnsi="仿宋" w:eastAsia="仿宋" w:cs="仿宋"/>
          <w:b/>
          <w:color w:val="FF0000"/>
          <w:sz w:val="24"/>
          <w:szCs w:val="24"/>
          <w:u w:val="thick"/>
        </w:rPr>
        <w:t xml:space="preserve"> </w:t>
      </w:r>
      <w:r>
        <w:rPr>
          <w:rFonts w:hint="eastAsia" w:ascii="仿宋" w:hAnsi="仿宋" w:eastAsia="仿宋" w:cs="仿宋"/>
          <w:b/>
          <w:color w:val="FF0000"/>
          <w:sz w:val="24"/>
          <w:szCs w:val="24"/>
          <w:u w:val="thick"/>
          <w:lang w:eastAsia="zh-CN"/>
        </w:rPr>
        <w:t>固定单价</w:t>
      </w:r>
      <w:r>
        <w:rPr>
          <w:rFonts w:hint="eastAsia" w:ascii="仿宋" w:hAnsi="仿宋" w:eastAsia="仿宋" w:cs="仿宋"/>
          <w:b/>
          <w:color w:val="FF0000"/>
          <w:sz w:val="24"/>
          <w:szCs w:val="24"/>
          <w:u w:val="thick"/>
        </w:rPr>
        <w:t xml:space="preserve"> </w:t>
      </w:r>
      <w:r>
        <w:rPr>
          <w:rFonts w:hint="eastAsia" w:ascii="仿宋" w:hAnsi="仿宋" w:eastAsia="仿宋" w:cs="仿宋"/>
          <w:b/>
          <w:color w:val="FF0000"/>
          <w:sz w:val="24"/>
          <w:szCs w:val="24"/>
        </w:rPr>
        <w:t>合同方式。</w:t>
      </w:r>
    </w:p>
    <w:p w14:paraId="69BE3E2E">
      <w:pPr>
        <w:keepNext w:val="0"/>
        <w:keepLines w:val="0"/>
        <w:pageBreakBefore w:val="0"/>
        <w:kinsoku/>
        <w:wordWrap/>
        <w:overflowPunct/>
        <w:topLinePunct w:val="0"/>
        <w:autoSpaceDE/>
        <w:autoSpaceDN/>
        <w:bidi w:val="0"/>
        <w:spacing w:line="360" w:lineRule="exact"/>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合同价款包含的风险范围：</w:t>
      </w:r>
    </w:p>
    <w:p w14:paraId="38904076">
      <w:pPr>
        <w:keepNext w:val="0"/>
        <w:keepLines w:val="0"/>
        <w:pageBreakBefore w:val="0"/>
        <w:kinsoku/>
        <w:wordWrap/>
        <w:overflowPunct/>
        <w:topLinePunct w:val="0"/>
        <w:autoSpaceDE/>
        <w:autoSpaceDN/>
        <w:bidi w:val="0"/>
        <w:spacing w:line="360" w:lineRule="exact"/>
        <w:ind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本合同组成部分投标文件报价书（控制价）中所报的综合单价包括但不限于为完成本项子目工程所需的所有人工费、材料（或供应品及设备）（包含运费、采保费、辅材、配件等）、机具、二次搬运费、机械台班费、设备安装费、管理费、利润、保险费、风险费、不可预见费以及就本项子目工程所做的试验所需各项费用及其它履行本项子目工程有关的各项成本与费用等。</w:t>
      </w:r>
    </w:p>
    <w:p w14:paraId="053C5BAB">
      <w:pPr>
        <w:keepNext w:val="0"/>
        <w:keepLines w:val="0"/>
        <w:pageBreakBefore w:val="0"/>
        <w:kinsoku/>
        <w:wordWrap/>
        <w:overflowPunct/>
        <w:topLinePunct w:val="0"/>
        <w:autoSpaceDE/>
        <w:autoSpaceDN/>
        <w:bidi w:val="0"/>
        <w:spacing w:line="360" w:lineRule="exact"/>
        <w:ind w:firstLine="480" w:firstLineChars="200"/>
        <w:jc w:val="left"/>
        <w:textAlignment w:val="auto"/>
        <w:rPr>
          <w:rFonts w:hint="eastAsia" w:ascii="仿宋" w:hAnsi="仿宋" w:eastAsia="仿宋" w:cs="仿宋"/>
          <w:sz w:val="24"/>
          <w:szCs w:val="24"/>
        </w:rPr>
      </w:pPr>
      <w:r>
        <w:rPr>
          <w:rFonts w:hint="eastAsia" w:ascii="仿宋" w:hAnsi="仿宋" w:eastAsia="仿宋" w:cs="仿宋"/>
          <w:color w:val="auto"/>
          <w:sz w:val="24"/>
          <w:szCs w:val="24"/>
          <w:highlight w:val="none"/>
          <w:u w:val="single"/>
        </w:rPr>
        <w:t>（2）承包人承诺已对施工现场进行考察，本合同组成部分投标文件报价书（控制价）中所报的综合单价均已包含由于施工现场多家施工单位交叉作业引起的工效降低、费用增加、工序颠倒引起费用增加等各项费用；考虑并包含周边区域已有的建（构）筑物、提升设备、以及自身提升设备间对施工的影响及费用。</w:t>
      </w:r>
    </w:p>
    <w:p w14:paraId="0BA845ED">
      <w:pPr>
        <w:keepNext w:val="0"/>
        <w:keepLines w:val="0"/>
        <w:pageBreakBefore w:val="0"/>
        <w:kinsoku/>
        <w:wordWrap/>
        <w:overflowPunct/>
        <w:topLinePunct w:val="0"/>
        <w:autoSpaceDE/>
        <w:autoSpaceDN/>
        <w:bidi w:val="0"/>
        <w:spacing w:line="360" w:lineRule="exact"/>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风险费用的计算方法：</w:t>
      </w:r>
      <w:r>
        <w:rPr>
          <w:rFonts w:hint="eastAsia" w:ascii="仿宋" w:hAnsi="仿宋" w:eastAsia="仿宋" w:cs="仿宋"/>
          <w:color w:val="auto"/>
          <w:sz w:val="24"/>
          <w:szCs w:val="24"/>
          <w:highlight w:val="none"/>
          <w:u w:val="single"/>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26A3B839">
      <w:pPr>
        <w:keepNext w:val="0"/>
        <w:keepLines w:val="0"/>
        <w:pageBreakBefore w:val="0"/>
        <w:kinsoku/>
        <w:wordWrap/>
        <w:overflowPunct/>
        <w:topLinePunct w:val="0"/>
        <w:autoSpaceDE/>
        <w:autoSpaceDN/>
        <w:bidi w:val="0"/>
        <w:snapToGrid w:val="0"/>
        <w:spacing w:line="360" w:lineRule="exact"/>
        <w:ind w:firstLine="480"/>
        <w:textAlignment w:val="auto"/>
        <w:rPr>
          <w:rFonts w:hint="eastAsia" w:ascii="仿宋" w:hAnsi="仿宋" w:eastAsia="仿宋" w:cs="仿宋"/>
          <w:sz w:val="24"/>
          <w:szCs w:val="24"/>
        </w:rPr>
      </w:pPr>
      <w:r>
        <w:rPr>
          <w:rFonts w:hint="eastAsia" w:ascii="仿宋" w:hAnsi="仿宋" w:eastAsia="仿宋" w:cs="仿宋"/>
          <w:sz w:val="24"/>
          <w:szCs w:val="24"/>
        </w:rPr>
        <w:t>风险范围以外合同价格的调整方法：</w:t>
      </w:r>
    </w:p>
    <w:p w14:paraId="1637A277">
      <w:pPr>
        <w:keepNext w:val="0"/>
        <w:keepLines w:val="0"/>
        <w:pageBreakBefore w:val="0"/>
        <w:kinsoku/>
        <w:wordWrap/>
        <w:overflowPunct/>
        <w:topLinePunct w:val="0"/>
        <w:autoSpaceDE/>
        <w:autoSpaceDN/>
        <w:bidi w:val="0"/>
        <w:snapToGrid w:val="0"/>
        <w:spacing w:line="360" w:lineRule="exact"/>
        <w:ind w:firstLine="48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（1）工程实施过程中，业主有权对工程内容进行修改或变更；</w:t>
      </w:r>
    </w:p>
    <w:p w14:paraId="36DBDC33">
      <w:pPr>
        <w:keepNext w:val="0"/>
        <w:keepLines w:val="0"/>
        <w:pageBreakBefore w:val="0"/>
        <w:kinsoku/>
        <w:wordWrap/>
        <w:overflowPunct/>
        <w:topLinePunct w:val="0"/>
        <w:autoSpaceDE/>
        <w:autoSpaceDN/>
        <w:bidi w:val="0"/>
        <w:snapToGrid w:val="0"/>
        <w:spacing w:line="360" w:lineRule="exact"/>
        <w:ind w:firstLine="48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2）在实际施工过程中涉及工程变更，若招标控制价中已有适用或类似变更工程组价的价格，在工程竣工决算时，经监理和甲方同意后，可按照或参照已有工程组价的价格；若招标控制价中没有适用或类似变更工程组价的价格，则由承包方提出合理的组价方式报业主审批后，重新组价，其价格应执行投标时的让利幅度，组价的定额基础为：安徽省住房和城乡建设厅发布2018版安徽省建设工程计价依据《安徽省建设工程工程量清单计价办法》、《安徽省建设工程费用定额》、《安徽省建设工程施工机械台班费用编制规则》</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eastAsia="zh-CN"/>
        </w:rPr>
        <w:t>安徽省建设工程计价依据动态调整（第1期）</w:t>
      </w:r>
      <w:r>
        <w:rPr>
          <w:rFonts w:hint="eastAsia" w:ascii="仿宋" w:hAnsi="仿宋" w:eastAsia="仿宋" w:cs="仿宋"/>
          <w:color w:val="auto"/>
          <w:sz w:val="24"/>
          <w:szCs w:val="24"/>
          <w:highlight w:val="none"/>
          <w:u w:val="single"/>
        </w:rPr>
        <w:t>》及其配套的相关计价定额；材料价格执行控制价中材料价格,控制价没有的材料由双方询价后以招标人认可的价格确定；承包方在双方确定变更后14天内未书面提出报告则视为该项变更不涉及合同价款的变更。</w:t>
      </w:r>
    </w:p>
    <w:p w14:paraId="659E87FD">
      <w:pPr>
        <w:keepNext w:val="0"/>
        <w:keepLines w:val="0"/>
        <w:pageBreakBefore w:val="0"/>
        <w:kinsoku/>
        <w:wordWrap/>
        <w:overflowPunct/>
        <w:topLinePunct w:val="0"/>
        <w:autoSpaceDE/>
        <w:autoSpaceDN/>
        <w:bidi w:val="0"/>
        <w:snapToGrid w:val="0"/>
        <w:spacing w:line="360" w:lineRule="exact"/>
        <w:ind w:firstLine="48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（以上计算时执行招标文件规定的下浮浮度）</w:t>
      </w:r>
    </w:p>
    <w:p w14:paraId="71C07F33">
      <w:pPr>
        <w:keepNext w:val="0"/>
        <w:keepLines w:val="0"/>
        <w:pageBreakBefore w:val="0"/>
        <w:kinsoku/>
        <w:wordWrap/>
        <w:overflowPunct/>
        <w:topLinePunct w:val="0"/>
        <w:autoSpaceDE/>
        <w:autoSpaceDN/>
        <w:bidi w:val="0"/>
        <w:snapToGrid w:val="0"/>
        <w:spacing w:line="360" w:lineRule="exact"/>
        <w:ind w:firstLine="480"/>
        <w:textAlignment w:val="auto"/>
        <w:rPr>
          <w:rFonts w:hint="eastAsia" w:ascii="仿宋" w:hAnsi="仿宋" w:eastAsia="仿宋" w:cs="仿宋"/>
          <w:sz w:val="24"/>
          <w:szCs w:val="24"/>
          <w:u w:val="single"/>
        </w:rPr>
      </w:pPr>
      <w:r>
        <w:rPr>
          <w:rFonts w:hint="eastAsia" w:ascii="仿宋" w:hAnsi="仿宋" w:eastAsia="仿宋" w:cs="仿宋"/>
          <w:color w:val="auto"/>
          <w:sz w:val="24"/>
          <w:szCs w:val="24"/>
          <w:highlight w:val="none"/>
          <w:u w:val="single"/>
        </w:rPr>
        <w:t>（3）由乙方原因造成的工程设计变更，增加工程量和费用甲方不予签认。</w:t>
      </w:r>
    </w:p>
    <w:p w14:paraId="0BFC4447">
      <w:pPr>
        <w:keepNext w:val="0"/>
        <w:keepLines w:val="0"/>
        <w:pageBreakBefore w:val="0"/>
        <w:kinsoku/>
        <w:wordWrap/>
        <w:overflowPunct/>
        <w:topLinePunct w:val="0"/>
        <w:autoSpaceDE/>
        <w:autoSpaceDN/>
        <w:bidi w:val="0"/>
        <w:spacing w:line="360" w:lineRule="exact"/>
        <w:jc w:val="left"/>
        <w:textAlignment w:val="auto"/>
        <w:rPr>
          <w:rFonts w:hint="eastAsia" w:ascii="仿宋" w:hAnsi="仿宋" w:eastAsia="仿宋" w:cs="仿宋"/>
          <w:sz w:val="24"/>
          <w:szCs w:val="24"/>
        </w:rPr>
      </w:pPr>
      <w:r>
        <w:rPr>
          <w:rFonts w:hint="eastAsia" w:ascii="仿宋" w:hAnsi="仿宋" w:eastAsia="仿宋" w:cs="仿宋"/>
          <w:b/>
          <w:sz w:val="24"/>
          <w:szCs w:val="24"/>
        </w:rPr>
        <w:t>第十二条</w:t>
      </w:r>
      <w:r>
        <w:rPr>
          <w:rFonts w:hint="eastAsia" w:ascii="仿宋" w:hAnsi="仿宋" w:eastAsia="仿宋" w:cs="仿宋"/>
          <w:sz w:val="24"/>
          <w:szCs w:val="24"/>
        </w:rPr>
        <w:t xml:space="preserve"> 定作人解除承揽合同应及时书面通知承揽人。</w:t>
      </w:r>
    </w:p>
    <w:p w14:paraId="4C5CE959">
      <w:pPr>
        <w:keepNext w:val="0"/>
        <w:keepLines w:val="0"/>
        <w:pageBreakBefore w:val="0"/>
        <w:kinsoku/>
        <w:wordWrap/>
        <w:overflowPunct/>
        <w:topLinePunct w:val="0"/>
        <w:autoSpaceDE/>
        <w:autoSpaceDN/>
        <w:bidi w:val="0"/>
        <w:spacing w:line="360" w:lineRule="exact"/>
        <w:textAlignment w:val="auto"/>
        <w:rPr>
          <w:rFonts w:hint="eastAsia" w:ascii="仿宋" w:hAnsi="仿宋" w:eastAsia="仿宋" w:cs="仿宋"/>
          <w:sz w:val="24"/>
          <w:szCs w:val="24"/>
        </w:rPr>
      </w:pPr>
      <w:r>
        <w:rPr>
          <w:rFonts w:hint="eastAsia" w:ascii="仿宋" w:hAnsi="仿宋" w:eastAsia="仿宋" w:cs="仿宋"/>
          <w:b/>
          <w:sz w:val="24"/>
          <w:szCs w:val="24"/>
        </w:rPr>
        <w:t>第十三条</w:t>
      </w:r>
      <w:r>
        <w:rPr>
          <w:rFonts w:hint="eastAsia" w:ascii="仿宋" w:hAnsi="仿宋" w:eastAsia="仿宋" w:cs="仿宋"/>
          <w:sz w:val="24"/>
          <w:szCs w:val="24"/>
        </w:rPr>
        <w:t xml:space="preserve"> 定作人未向承揽人支付报酬或材料费的，乙方可以留置工作成果。</w:t>
      </w:r>
    </w:p>
    <w:p w14:paraId="365F98FA">
      <w:pPr>
        <w:keepNext w:val="0"/>
        <w:keepLines w:val="0"/>
        <w:pageBreakBefore w:val="0"/>
        <w:kinsoku/>
        <w:wordWrap/>
        <w:overflowPunct/>
        <w:topLinePunct w:val="0"/>
        <w:autoSpaceDE/>
        <w:autoSpaceDN/>
        <w:bidi w:val="0"/>
        <w:spacing w:line="360" w:lineRule="exact"/>
        <w:textAlignment w:val="auto"/>
        <w:rPr>
          <w:rFonts w:hint="eastAsia" w:ascii="仿宋" w:hAnsi="仿宋" w:eastAsia="仿宋" w:cs="仿宋"/>
          <w:sz w:val="24"/>
          <w:szCs w:val="24"/>
          <w:u w:val="single"/>
        </w:rPr>
      </w:pPr>
      <w:r>
        <w:rPr>
          <w:rFonts w:hint="eastAsia" w:ascii="仿宋" w:hAnsi="仿宋" w:eastAsia="仿宋" w:cs="仿宋"/>
          <w:b/>
          <w:sz w:val="24"/>
          <w:szCs w:val="24"/>
        </w:rPr>
        <w:t>第十四条</w:t>
      </w:r>
      <w:r>
        <w:rPr>
          <w:rFonts w:hint="eastAsia" w:ascii="仿宋" w:hAnsi="仿宋" w:eastAsia="仿宋" w:cs="仿宋"/>
          <w:sz w:val="24"/>
          <w:szCs w:val="24"/>
        </w:rPr>
        <w:t xml:space="preserve"> 违约责任：</w:t>
      </w:r>
      <w:r>
        <w:rPr>
          <w:rFonts w:hint="eastAsia" w:ascii="仿宋" w:hAnsi="仿宋" w:eastAsia="仿宋" w:cs="仿宋"/>
          <w:sz w:val="24"/>
          <w:szCs w:val="24"/>
          <w:u w:val="single"/>
        </w:rPr>
        <w:t xml:space="preserve">工程质量不符合合同规定的，承揽人负责返修直至工程质量验收合格。 </w:t>
      </w:r>
    </w:p>
    <w:p w14:paraId="495F0C1D">
      <w:pPr>
        <w:keepNext w:val="0"/>
        <w:keepLines w:val="0"/>
        <w:pageBreakBefore w:val="0"/>
        <w:kinsoku/>
        <w:wordWrap/>
        <w:overflowPunct/>
        <w:topLinePunct w:val="0"/>
        <w:autoSpaceDE/>
        <w:autoSpaceDN/>
        <w:bidi w:val="0"/>
        <w:spacing w:line="360" w:lineRule="exact"/>
        <w:ind w:left="600" w:hanging="602" w:hangingChars="250"/>
        <w:textAlignment w:val="auto"/>
        <w:rPr>
          <w:rFonts w:hint="eastAsia" w:ascii="仿宋" w:hAnsi="仿宋" w:eastAsia="仿宋" w:cs="仿宋"/>
          <w:sz w:val="24"/>
          <w:szCs w:val="24"/>
        </w:rPr>
      </w:pPr>
      <w:r>
        <w:rPr>
          <w:rFonts w:hint="eastAsia" w:ascii="仿宋" w:hAnsi="仿宋" w:eastAsia="仿宋" w:cs="仿宋"/>
          <w:b/>
          <w:sz w:val="24"/>
          <w:szCs w:val="24"/>
        </w:rPr>
        <w:t>第十五条</w:t>
      </w:r>
      <w:r>
        <w:rPr>
          <w:rFonts w:hint="eastAsia" w:ascii="仿宋" w:hAnsi="仿宋" w:eastAsia="仿宋" w:cs="仿宋"/>
          <w:sz w:val="24"/>
          <w:szCs w:val="24"/>
        </w:rPr>
        <w:t xml:space="preserve"> 合同争议的解决方式：本合同在履行过程中发生的争议，由双方当事人协商解决；也可由当地工商行政管理部门调解；协商或调解不成的，按下列第</w:t>
      </w:r>
      <w:r>
        <w:rPr>
          <w:rFonts w:hint="eastAsia" w:ascii="仿宋" w:hAnsi="仿宋" w:eastAsia="仿宋" w:cs="仿宋"/>
          <w:sz w:val="24"/>
          <w:szCs w:val="24"/>
          <w:u w:val="single"/>
        </w:rPr>
        <w:t xml:space="preserve"> （一） </w:t>
      </w:r>
      <w:r>
        <w:rPr>
          <w:rFonts w:hint="eastAsia" w:ascii="仿宋" w:hAnsi="仿宋" w:eastAsia="仿宋" w:cs="仿宋"/>
          <w:sz w:val="24"/>
          <w:szCs w:val="24"/>
        </w:rPr>
        <w:t>种方式解决：</w:t>
      </w:r>
    </w:p>
    <w:p w14:paraId="45F29819">
      <w:pPr>
        <w:keepNext w:val="0"/>
        <w:keepLines w:val="0"/>
        <w:pageBreakBefore w:val="0"/>
        <w:kinsoku/>
        <w:wordWrap/>
        <w:overflowPunct/>
        <w:topLinePunct w:val="0"/>
        <w:autoSpaceDE/>
        <w:autoSpaceDN/>
        <w:bidi w:val="0"/>
        <w:spacing w:line="360" w:lineRule="exact"/>
        <w:ind w:left="480" w:hanging="480" w:hangingChars="200"/>
        <w:textAlignment w:val="auto"/>
        <w:rPr>
          <w:rFonts w:hint="eastAsia" w:ascii="仿宋" w:hAnsi="仿宋" w:eastAsia="仿宋" w:cs="仿宋"/>
          <w:b w:val="0"/>
          <w:bCs w:val="0"/>
          <w:color w:val="auto"/>
          <w:sz w:val="24"/>
          <w:szCs w:val="24"/>
        </w:rPr>
      </w:pPr>
      <w:r>
        <w:rPr>
          <w:rFonts w:hint="eastAsia" w:ascii="仿宋" w:hAnsi="仿宋" w:eastAsia="仿宋" w:cs="仿宋"/>
          <w:sz w:val="24"/>
          <w:szCs w:val="24"/>
        </w:rPr>
        <w:t xml:space="preserve">   </w:t>
      </w:r>
      <w:r>
        <w:rPr>
          <w:rFonts w:hint="eastAsia" w:ascii="仿宋" w:hAnsi="仿宋" w:eastAsia="仿宋" w:cs="仿宋"/>
          <w:b w:val="0"/>
          <w:bCs w:val="0"/>
          <w:sz w:val="24"/>
          <w:szCs w:val="24"/>
        </w:rPr>
        <w:t xml:space="preserve">  </w:t>
      </w:r>
      <w:r>
        <w:rPr>
          <w:rFonts w:hint="eastAsia" w:ascii="仿宋" w:hAnsi="仿宋" w:eastAsia="仿宋" w:cs="仿宋"/>
          <w:b w:val="0"/>
          <w:bCs w:val="0"/>
          <w:color w:val="auto"/>
          <w:sz w:val="24"/>
          <w:szCs w:val="24"/>
        </w:rPr>
        <w:t>（一）提交</w:t>
      </w:r>
      <w:r>
        <w:rPr>
          <w:rFonts w:hint="eastAsia" w:ascii="仿宋" w:hAnsi="仿宋" w:eastAsia="仿宋" w:cs="仿宋"/>
          <w:b w:val="0"/>
          <w:bCs w:val="0"/>
          <w:color w:val="auto"/>
          <w:sz w:val="24"/>
          <w:szCs w:val="24"/>
          <w:u w:val="single"/>
        </w:rPr>
        <w:t xml:space="preserve"> 马鞍山</w:t>
      </w:r>
      <w:r>
        <w:rPr>
          <w:rFonts w:hint="eastAsia" w:ascii="仿宋" w:hAnsi="仿宋" w:eastAsia="仿宋" w:cs="仿宋"/>
          <w:b w:val="0"/>
          <w:bCs w:val="0"/>
          <w:color w:val="auto"/>
          <w:sz w:val="24"/>
          <w:szCs w:val="24"/>
        </w:rPr>
        <w:t>仲裁委员会仲裁；（二）依法向人民法院起诉。</w:t>
      </w:r>
    </w:p>
    <w:p w14:paraId="53D55209">
      <w:pPr>
        <w:pStyle w:val="2"/>
        <w:keepNext w:val="0"/>
        <w:keepLines w:val="0"/>
        <w:pageBreakBefore w:val="0"/>
        <w:widowControl/>
        <w:kinsoku/>
        <w:wordWrap/>
        <w:overflowPunct/>
        <w:topLinePunct w:val="0"/>
        <w:autoSpaceDE/>
        <w:autoSpaceDN/>
        <w:bidi w:val="0"/>
        <w:snapToGrid w:val="0"/>
        <w:spacing w:line="360" w:lineRule="exact"/>
        <w:textAlignment w:val="auto"/>
        <w:rPr>
          <w:rFonts w:hint="eastAsia" w:ascii="仿宋" w:hAnsi="仿宋" w:eastAsia="仿宋" w:cs="仿宋"/>
          <w:b w:val="0"/>
          <w:bCs w:val="0"/>
          <w:color w:val="auto"/>
          <w:sz w:val="24"/>
          <w:szCs w:val="24"/>
        </w:rPr>
      </w:pPr>
      <w:r>
        <w:rPr>
          <w:rFonts w:hint="eastAsia" w:ascii="仿宋" w:hAnsi="仿宋" w:eastAsia="仿宋" w:cs="仿宋"/>
          <w:b/>
          <w:kern w:val="2"/>
          <w:sz w:val="24"/>
          <w:szCs w:val="24"/>
          <w:lang w:val="en-US" w:eastAsia="zh-CN" w:bidi="ar-SA"/>
        </w:rPr>
        <w:t xml:space="preserve">第十六条 </w:t>
      </w:r>
      <w:r>
        <w:rPr>
          <w:rFonts w:hint="eastAsia" w:ascii="仿宋" w:hAnsi="仿宋" w:eastAsia="仿宋" w:cs="仿宋"/>
          <w:b w:val="0"/>
          <w:bCs w:val="0"/>
          <w:color w:val="auto"/>
          <w:sz w:val="24"/>
          <w:szCs w:val="24"/>
        </w:rPr>
        <w:t>其他约定事项：</w:t>
      </w:r>
      <w:r>
        <w:rPr>
          <w:rFonts w:hint="eastAsia" w:ascii="仿宋" w:hAnsi="仿宋" w:eastAsia="仿宋" w:cs="仿宋"/>
          <w:b w:val="0"/>
          <w:bCs w:val="0"/>
          <w:color w:val="auto"/>
          <w:sz w:val="24"/>
          <w:szCs w:val="24"/>
          <w:lang w:val="en-US" w:eastAsia="zh-CN"/>
        </w:rPr>
        <w:t>1、</w:t>
      </w:r>
      <w:r>
        <w:rPr>
          <w:rFonts w:hint="eastAsia" w:ascii="仿宋" w:hAnsi="仿宋" w:eastAsia="仿宋" w:cs="仿宋"/>
          <w:b w:val="0"/>
          <w:bCs w:val="0"/>
          <w:color w:val="auto"/>
          <w:sz w:val="24"/>
          <w:szCs w:val="24"/>
        </w:rPr>
        <w:t>工程结算价＝成交价±定作人确认的合同或设计图纸范围以内工程变更、设计变更、现场签证－承揽人未施工或造成损失费用及各项罚金。</w:t>
      </w:r>
      <w:r>
        <w:rPr>
          <w:rFonts w:hint="eastAsia" w:ascii="仿宋" w:hAnsi="仿宋" w:eastAsia="仿宋" w:cs="仿宋"/>
          <w:b w:val="0"/>
          <w:bCs w:val="0"/>
          <w:color w:val="auto"/>
          <w:sz w:val="24"/>
          <w:szCs w:val="24"/>
          <w:lang w:val="en-US" w:eastAsia="zh-CN"/>
        </w:rPr>
        <w:t>2、</w:t>
      </w:r>
      <w:r>
        <w:rPr>
          <w:rFonts w:hint="eastAsia" w:ascii="仿宋" w:hAnsi="仿宋" w:eastAsia="仿宋" w:cs="仿宋"/>
          <w:b w:val="0"/>
          <w:bCs w:val="0"/>
          <w:color w:val="auto"/>
          <w:sz w:val="24"/>
          <w:szCs w:val="24"/>
        </w:rPr>
        <w:t>以审计结果作为竣工结算的依据；</w:t>
      </w:r>
      <w:r>
        <w:rPr>
          <w:rFonts w:hint="eastAsia" w:ascii="仿宋" w:hAnsi="仿宋" w:eastAsia="仿宋" w:cs="仿宋"/>
          <w:b w:val="0"/>
          <w:bCs w:val="0"/>
          <w:color w:val="auto"/>
          <w:sz w:val="24"/>
          <w:szCs w:val="24"/>
          <w:lang w:val="en-US" w:eastAsia="zh-CN"/>
        </w:rPr>
        <w:t>3、</w:t>
      </w:r>
      <w:r>
        <w:rPr>
          <w:rFonts w:hint="eastAsia" w:ascii="仿宋" w:hAnsi="仿宋" w:eastAsia="仿宋" w:cs="仿宋"/>
          <w:b w:val="0"/>
          <w:bCs w:val="0"/>
          <w:color w:val="auto"/>
          <w:sz w:val="24"/>
          <w:szCs w:val="24"/>
        </w:rPr>
        <w:t>施工单位编制竣工结算时不得有高估冒算行为。</w:t>
      </w:r>
    </w:p>
    <w:p w14:paraId="5FA49894">
      <w:pPr>
        <w:pStyle w:val="2"/>
        <w:keepNext w:val="0"/>
        <w:keepLines w:val="0"/>
        <w:pageBreakBefore w:val="0"/>
        <w:widowControl/>
        <w:kinsoku/>
        <w:wordWrap/>
        <w:overflowPunct/>
        <w:topLinePunct w:val="0"/>
        <w:autoSpaceDE/>
        <w:autoSpaceDN/>
        <w:bidi w:val="0"/>
        <w:snapToGrid w:val="0"/>
        <w:spacing w:line="360" w:lineRule="exact"/>
        <w:textAlignment w:val="auto"/>
        <w:rPr>
          <w:rFonts w:hint="eastAsia" w:ascii="仿宋" w:hAnsi="仿宋" w:eastAsia="仿宋" w:cs="仿宋"/>
          <w:b w:val="0"/>
          <w:bCs w:val="0"/>
          <w:color w:val="auto"/>
          <w:sz w:val="24"/>
          <w:szCs w:val="24"/>
        </w:rPr>
      </w:pPr>
      <w:r>
        <w:rPr>
          <w:rFonts w:hint="eastAsia" w:ascii="仿宋" w:hAnsi="仿宋" w:eastAsia="仿宋" w:cs="仿宋"/>
          <w:b/>
          <w:kern w:val="2"/>
          <w:sz w:val="24"/>
          <w:szCs w:val="24"/>
          <w:lang w:val="en-US" w:eastAsia="zh-CN" w:bidi="ar-SA"/>
        </w:rPr>
        <w:t xml:space="preserve">第十七条 </w:t>
      </w:r>
      <w:r>
        <w:rPr>
          <w:rFonts w:hint="eastAsia" w:ascii="仿宋" w:hAnsi="仿宋" w:eastAsia="仿宋" w:cs="仿宋"/>
          <w:b w:val="0"/>
          <w:bCs w:val="0"/>
          <w:color w:val="auto"/>
          <w:sz w:val="24"/>
          <w:szCs w:val="24"/>
        </w:rPr>
        <w:t>保修事项：本工程保修事项执行《建设工程质量管理条例》及马鞍山市有关规定。</w:t>
      </w:r>
    </w:p>
    <w:p w14:paraId="094D48C0">
      <w:pPr>
        <w:keepNext w:val="0"/>
        <w:keepLines w:val="0"/>
        <w:pageBreakBefore w:val="0"/>
        <w:kinsoku/>
        <w:wordWrap/>
        <w:overflowPunct/>
        <w:topLinePunct w:val="0"/>
        <w:autoSpaceDE/>
        <w:autoSpaceDN/>
        <w:bidi w:val="0"/>
        <w:adjustRightInd w:val="0"/>
        <w:snapToGrid w:val="0"/>
        <w:spacing w:line="360" w:lineRule="exact"/>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kern w:val="2"/>
          <w:sz w:val="24"/>
          <w:szCs w:val="24"/>
          <w:lang w:val="en-US" w:eastAsia="zh-CN" w:bidi="ar-SA"/>
        </w:rPr>
        <w:t xml:space="preserve">第十八条 </w:t>
      </w:r>
      <w:r>
        <w:rPr>
          <w:rFonts w:hint="eastAsia" w:ascii="仿宋" w:hAnsi="仿宋" w:eastAsia="仿宋" w:cs="仿宋"/>
          <w:b w:val="0"/>
          <w:bCs w:val="0"/>
          <w:color w:val="auto"/>
          <w:kern w:val="2"/>
          <w:sz w:val="24"/>
          <w:szCs w:val="24"/>
          <w:lang w:val="en-US" w:eastAsia="zh-CN" w:bidi="ar-SA"/>
        </w:rPr>
        <w:t>其他事项：</w:t>
      </w:r>
      <w:r>
        <w:rPr>
          <w:rFonts w:hint="eastAsia" w:ascii="仿宋" w:hAnsi="仿宋" w:eastAsia="仿宋" w:cs="仿宋"/>
          <w:b w:val="0"/>
          <w:bCs w:val="0"/>
          <w:color w:val="auto"/>
          <w:sz w:val="24"/>
          <w:szCs w:val="24"/>
        </w:rPr>
        <w:t>1、签订合同时承揽人需明确项目负责人及项目管理班子人员名单，作为合同附件。2、</w:t>
      </w:r>
      <w:r>
        <w:rPr>
          <w:rFonts w:hint="eastAsia" w:ascii="仿宋" w:hAnsi="仿宋" w:eastAsia="仿宋" w:cs="仿宋"/>
          <w:b w:val="0"/>
          <w:bCs w:val="0"/>
          <w:color w:val="auto"/>
          <w:sz w:val="24"/>
          <w:szCs w:val="24"/>
          <w:lang w:val="en-US" w:eastAsia="zh-CN"/>
        </w:rPr>
        <w:t>项目审计结算参照花政办2021年35号文件执行。3、</w:t>
      </w:r>
      <w:r>
        <w:rPr>
          <w:rFonts w:hint="eastAsia" w:ascii="仿宋" w:hAnsi="仿宋" w:eastAsia="仿宋" w:cs="仿宋"/>
          <w:b w:val="0"/>
          <w:bCs w:val="0"/>
          <w:color w:val="auto"/>
          <w:sz w:val="24"/>
          <w:szCs w:val="24"/>
        </w:rPr>
        <w:t>双方有争议，协商解决。协商不成，提交马鞍山仲裁委员会仲裁。</w:t>
      </w:r>
      <w:r>
        <w:rPr>
          <w:rFonts w:hint="eastAsia" w:ascii="仿宋" w:hAnsi="仿宋" w:eastAsia="仿宋" w:cs="仿宋"/>
          <w:b w:val="0"/>
          <w:bCs w:val="0"/>
          <w:color w:val="auto"/>
          <w:sz w:val="24"/>
          <w:szCs w:val="24"/>
          <w:lang w:val="en-US" w:eastAsia="zh-CN"/>
        </w:rPr>
        <w:t>4、</w:t>
      </w:r>
      <w:r>
        <w:rPr>
          <w:rFonts w:hint="eastAsia" w:ascii="仿宋" w:hAnsi="仿宋" w:eastAsia="仿宋" w:cs="仿宋"/>
          <w:b w:val="0"/>
          <w:bCs w:val="0"/>
          <w:color w:val="auto"/>
          <w:sz w:val="24"/>
          <w:szCs w:val="24"/>
        </w:rPr>
        <w:t>其他未尽事项双方协商解决。</w:t>
      </w:r>
    </w:p>
    <w:tbl>
      <w:tblPr>
        <w:tblStyle w:val="6"/>
        <w:tblpPr w:leftFromText="180" w:rightFromText="180" w:vertAnchor="text" w:horzAnchor="margin" w:tblpXSpec="center" w:tblpY="182"/>
        <w:tblW w:w="94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19"/>
        <w:gridCol w:w="3411"/>
        <w:gridCol w:w="2509"/>
      </w:tblGrid>
      <w:tr w14:paraId="64024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2" w:hRule="atLeast"/>
        </w:trPr>
        <w:tc>
          <w:tcPr>
            <w:tcW w:w="3519" w:type="dxa"/>
          </w:tcPr>
          <w:p w14:paraId="386D66CB">
            <w:pPr>
              <w:spacing w:beforeLines="50" w:afterLines="50" w:line="280" w:lineRule="exact"/>
              <w:jc w:val="center"/>
              <w:rPr>
                <w:rFonts w:hint="eastAsia" w:ascii="宋体" w:hAnsi="宋体" w:eastAsia="宋体" w:cs="宋体"/>
                <w:szCs w:val="21"/>
              </w:rPr>
            </w:pPr>
            <w:r>
              <w:rPr>
                <w:rFonts w:hint="eastAsia" w:ascii="宋体" w:hAnsi="宋体" w:eastAsia="宋体" w:cs="宋体"/>
                <w:szCs w:val="21"/>
              </w:rPr>
              <w:t xml:space="preserve">  定作人</w:t>
            </w:r>
          </w:p>
          <w:p w14:paraId="6FF770AA">
            <w:pPr>
              <w:spacing w:beforeLines="50" w:afterLines="50" w:line="280" w:lineRule="exact"/>
              <w:rPr>
                <w:rFonts w:hint="eastAsia" w:ascii="宋体" w:hAnsi="宋体" w:eastAsia="宋体" w:cs="宋体"/>
                <w:szCs w:val="21"/>
              </w:rPr>
            </w:pPr>
            <w:r>
              <w:rPr>
                <w:rFonts w:hint="eastAsia" w:ascii="宋体" w:hAnsi="宋体" w:eastAsia="宋体" w:cs="宋体"/>
                <w:szCs w:val="21"/>
              </w:rPr>
              <w:t>定作人（章）：</w:t>
            </w:r>
          </w:p>
          <w:p w14:paraId="6A7C49BF">
            <w:pPr>
              <w:spacing w:beforeLines="50" w:afterLines="50" w:line="280" w:lineRule="exact"/>
              <w:rPr>
                <w:rFonts w:hint="eastAsia" w:ascii="宋体" w:hAnsi="宋体" w:eastAsia="宋体" w:cs="宋体"/>
                <w:szCs w:val="21"/>
              </w:rPr>
            </w:pPr>
            <w:r>
              <w:rPr>
                <w:rFonts w:hint="eastAsia" w:ascii="宋体" w:hAnsi="宋体" w:eastAsia="宋体" w:cs="宋体"/>
                <w:szCs w:val="21"/>
              </w:rPr>
              <w:t>住所：</w:t>
            </w:r>
          </w:p>
          <w:p w14:paraId="56108E00">
            <w:pPr>
              <w:spacing w:beforeLines="50" w:afterLines="50" w:line="280" w:lineRule="exact"/>
              <w:rPr>
                <w:rFonts w:hint="eastAsia" w:ascii="宋体" w:hAnsi="宋体" w:eastAsia="宋体" w:cs="宋体"/>
                <w:szCs w:val="21"/>
              </w:rPr>
            </w:pPr>
            <w:r>
              <w:rPr>
                <w:rFonts w:hint="eastAsia" w:ascii="宋体" w:hAnsi="宋体" w:eastAsia="宋体" w:cs="宋体"/>
                <w:szCs w:val="21"/>
              </w:rPr>
              <w:t>法定代表人：</w:t>
            </w:r>
          </w:p>
          <w:p w14:paraId="5A611AEF">
            <w:pPr>
              <w:spacing w:beforeLines="50" w:afterLines="50" w:line="280" w:lineRule="exact"/>
              <w:rPr>
                <w:rFonts w:hint="eastAsia" w:ascii="宋体" w:hAnsi="宋体" w:eastAsia="宋体" w:cs="宋体"/>
                <w:szCs w:val="21"/>
              </w:rPr>
            </w:pPr>
            <w:r>
              <w:rPr>
                <w:rFonts w:hint="eastAsia" w:ascii="宋体" w:hAnsi="宋体" w:eastAsia="宋体" w:cs="宋体"/>
                <w:szCs w:val="21"/>
              </w:rPr>
              <w:t>居民身份证号码：</w:t>
            </w:r>
          </w:p>
          <w:p w14:paraId="56155721">
            <w:pPr>
              <w:spacing w:beforeLines="50" w:afterLines="50" w:line="280" w:lineRule="exact"/>
              <w:rPr>
                <w:rFonts w:hint="eastAsia" w:ascii="宋体" w:hAnsi="宋体" w:eastAsia="宋体" w:cs="宋体"/>
                <w:szCs w:val="21"/>
              </w:rPr>
            </w:pPr>
            <w:r>
              <w:rPr>
                <w:rFonts w:hint="eastAsia" w:ascii="宋体" w:hAnsi="宋体" w:eastAsia="宋体" w:cs="宋体"/>
                <w:szCs w:val="21"/>
              </w:rPr>
              <w:t>委托代理人：</w:t>
            </w:r>
          </w:p>
          <w:p w14:paraId="27DA67FE">
            <w:pPr>
              <w:spacing w:beforeLines="50" w:afterLines="50" w:line="280" w:lineRule="exact"/>
              <w:rPr>
                <w:rFonts w:hint="eastAsia" w:ascii="宋体" w:hAnsi="宋体" w:eastAsia="宋体" w:cs="宋体"/>
                <w:szCs w:val="21"/>
              </w:rPr>
            </w:pPr>
            <w:r>
              <w:rPr>
                <w:rFonts w:hint="eastAsia" w:ascii="宋体" w:hAnsi="宋体" w:eastAsia="宋体" w:cs="宋体"/>
                <w:szCs w:val="21"/>
              </w:rPr>
              <w:t>电话：</w:t>
            </w:r>
          </w:p>
          <w:p w14:paraId="31FC3F5F">
            <w:pPr>
              <w:spacing w:beforeLines="50" w:afterLines="50" w:line="280" w:lineRule="exact"/>
              <w:rPr>
                <w:rFonts w:hint="eastAsia" w:ascii="宋体" w:hAnsi="宋体" w:eastAsia="宋体" w:cs="宋体"/>
                <w:szCs w:val="21"/>
              </w:rPr>
            </w:pPr>
            <w:r>
              <w:rPr>
                <w:rFonts w:hint="eastAsia" w:ascii="宋体" w:hAnsi="宋体" w:eastAsia="宋体" w:cs="宋体"/>
                <w:szCs w:val="21"/>
              </w:rPr>
              <w:t>开户银行：</w:t>
            </w:r>
          </w:p>
          <w:p w14:paraId="126A1796">
            <w:pPr>
              <w:spacing w:beforeLines="50" w:afterLines="50" w:line="280" w:lineRule="exact"/>
              <w:rPr>
                <w:rFonts w:hint="eastAsia" w:ascii="宋体" w:hAnsi="宋体" w:eastAsia="宋体" w:cs="宋体"/>
                <w:szCs w:val="21"/>
              </w:rPr>
            </w:pPr>
            <w:r>
              <w:rPr>
                <w:rFonts w:hint="eastAsia" w:ascii="宋体" w:hAnsi="宋体" w:eastAsia="宋体" w:cs="宋体"/>
                <w:szCs w:val="21"/>
              </w:rPr>
              <w:t>账号：</w:t>
            </w:r>
          </w:p>
          <w:p w14:paraId="3E48CBE1">
            <w:pPr>
              <w:spacing w:beforeLines="50" w:afterLines="50" w:line="280" w:lineRule="exact"/>
              <w:rPr>
                <w:rFonts w:hint="eastAsia" w:ascii="宋体" w:hAnsi="宋体" w:eastAsia="宋体" w:cs="宋体"/>
                <w:szCs w:val="21"/>
              </w:rPr>
            </w:pPr>
            <w:r>
              <w:rPr>
                <w:rFonts w:hint="eastAsia" w:ascii="宋体" w:hAnsi="宋体" w:eastAsia="宋体" w:cs="宋体"/>
                <w:szCs w:val="21"/>
              </w:rPr>
              <w:t>邮政编码：</w:t>
            </w:r>
          </w:p>
        </w:tc>
        <w:tc>
          <w:tcPr>
            <w:tcW w:w="3411" w:type="dxa"/>
          </w:tcPr>
          <w:p w14:paraId="35E72B77">
            <w:pPr>
              <w:spacing w:beforeLines="50" w:line="280" w:lineRule="exact"/>
              <w:jc w:val="center"/>
              <w:rPr>
                <w:rFonts w:hint="eastAsia" w:ascii="宋体" w:hAnsi="宋体" w:eastAsia="宋体" w:cs="宋体"/>
                <w:szCs w:val="21"/>
              </w:rPr>
            </w:pPr>
            <w:r>
              <w:rPr>
                <w:rFonts w:hint="eastAsia" w:ascii="宋体" w:hAnsi="宋体" w:eastAsia="宋体" w:cs="宋体"/>
                <w:szCs w:val="21"/>
              </w:rPr>
              <w:t>承揽人</w:t>
            </w:r>
          </w:p>
          <w:p w14:paraId="3498DBD1">
            <w:pPr>
              <w:spacing w:beforeLines="50" w:line="280" w:lineRule="exact"/>
              <w:rPr>
                <w:rFonts w:hint="eastAsia" w:ascii="宋体" w:hAnsi="宋体" w:eastAsia="宋体" w:cs="宋体"/>
                <w:szCs w:val="21"/>
              </w:rPr>
            </w:pPr>
            <w:r>
              <w:rPr>
                <w:rFonts w:hint="eastAsia" w:ascii="宋体" w:hAnsi="宋体" w:eastAsia="宋体" w:cs="宋体"/>
                <w:szCs w:val="21"/>
              </w:rPr>
              <w:t>承揽人（章）：</w:t>
            </w:r>
          </w:p>
          <w:p w14:paraId="0B48C071">
            <w:pPr>
              <w:spacing w:beforeLines="50" w:line="280" w:lineRule="exact"/>
              <w:rPr>
                <w:rFonts w:hint="eastAsia" w:ascii="宋体" w:hAnsi="宋体" w:eastAsia="宋体" w:cs="宋体"/>
                <w:szCs w:val="21"/>
              </w:rPr>
            </w:pPr>
            <w:r>
              <w:rPr>
                <w:rFonts w:hint="eastAsia" w:ascii="宋体" w:hAnsi="宋体" w:eastAsia="宋体" w:cs="宋体"/>
                <w:szCs w:val="21"/>
              </w:rPr>
              <w:t>住所：</w:t>
            </w:r>
          </w:p>
          <w:p w14:paraId="4BF0A0E8">
            <w:pPr>
              <w:spacing w:beforeLines="50" w:line="280" w:lineRule="exact"/>
              <w:rPr>
                <w:rFonts w:hint="eastAsia" w:ascii="宋体" w:hAnsi="宋体" w:eastAsia="宋体" w:cs="宋体"/>
                <w:szCs w:val="21"/>
              </w:rPr>
            </w:pPr>
            <w:r>
              <w:rPr>
                <w:rFonts w:hint="eastAsia" w:ascii="宋体" w:hAnsi="宋体" w:eastAsia="宋体" w:cs="宋体"/>
                <w:szCs w:val="21"/>
              </w:rPr>
              <w:t>法定代表人：</w:t>
            </w:r>
          </w:p>
          <w:p w14:paraId="0A90D650">
            <w:pPr>
              <w:spacing w:beforeLines="50" w:line="280" w:lineRule="exact"/>
              <w:rPr>
                <w:rFonts w:hint="eastAsia" w:ascii="宋体" w:hAnsi="宋体" w:eastAsia="宋体" w:cs="宋体"/>
                <w:szCs w:val="21"/>
              </w:rPr>
            </w:pPr>
            <w:r>
              <w:rPr>
                <w:rFonts w:hint="eastAsia" w:ascii="宋体" w:hAnsi="宋体" w:eastAsia="宋体" w:cs="宋体"/>
                <w:szCs w:val="21"/>
              </w:rPr>
              <w:t>居民身份证：</w:t>
            </w:r>
          </w:p>
          <w:p w14:paraId="709F461B">
            <w:pPr>
              <w:spacing w:beforeLines="50" w:line="280" w:lineRule="exact"/>
              <w:rPr>
                <w:rFonts w:hint="eastAsia" w:ascii="宋体" w:hAnsi="宋体" w:eastAsia="宋体" w:cs="宋体"/>
                <w:szCs w:val="21"/>
              </w:rPr>
            </w:pPr>
            <w:r>
              <w:rPr>
                <w:rFonts w:hint="eastAsia" w:ascii="宋体" w:hAnsi="宋体" w:eastAsia="宋体" w:cs="宋体"/>
                <w:szCs w:val="21"/>
              </w:rPr>
              <w:t>委托代理人：</w:t>
            </w:r>
          </w:p>
          <w:p w14:paraId="3C570F8C">
            <w:pPr>
              <w:spacing w:beforeLines="50" w:line="280" w:lineRule="exact"/>
              <w:rPr>
                <w:rFonts w:hint="eastAsia" w:ascii="宋体" w:hAnsi="宋体" w:eastAsia="宋体" w:cs="宋体"/>
                <w:szCs w:val="21"/>
              </w:rPr>
            </w:pPr>
            <w:r>
              <w:rPr>
                <w:rFonts w:hint="eastAsia" w:ascii="宋体" w:hAnsi="宋体" w:eastAsia="宋体" w:cs="宋体"/>
                <w:szCs w:val="21"/>
              </w:rPr>
              <w:t>电话：</w:t>
            </w:r>
          </w:p>
          <w:p w14:paraId="0BA954DA">
            <w:pPr>
              <w:spacing w:beforeLines="50" w:line="280" w:lineRule="exact"/>
              <w:rPr>
                <w:rFonts w:hint="eastAsia" w:ascii="宋体" w:hAnsi="宋体" w:eastAsia="宋体" w:cs="宋体"/>
                <w:szCs w:val="21"/>
              </w:rPr>
            </w:pPr>
            <w:r>
              <w:rPr>
                <w:rFonts w:hint="eastAsia" w:ascii="宋体" w:hAnsi="宋体" w:eastAsia="宋体" w:cs="宋体"/>
                <w:szCs w:val="21"/>
              </w:rPr>
              <w:t>开户银行：</w:t>
            </w:r>
          </w:p>
          <w:p w14:paraId="7901C372">
            <w:pPr>
              <w:spacing w:beforeLines="50" w:line="280" w:lineRule="exact"/>
              <w:rPr>
                <w:rFonts w:hint="eastAsia" w:ascii="宋体" w:hAnsi="宋体" w:eastAsia="宋体" w:cs="宋体"/>
                <w:b/>
                <w:szCs w:val="21"/>
              </w:rPr>
            </w:pPr>
            <w:r>
              <w:rPr>
                <w:rFonts w:hint="eastAsia" w:ascii="宋体" w:hAnsi="宋体" w:eastAsia="宋体" w:cs="宋体"/>
                <w:szCs w:val="21"/>
              </w:rPr>
              <w:t xml:space="preserve">账号：  </w:t>
            </w:r>
            <w:r>
              <w:rPr>
                <w:rFonts w:hint="eastAsia" w:ascii="宋体" w:hAnsi="宋体" w:eastAsia="宋体" w:cs="宋体"/>
                <w:b/>
                <w:szCs w:val="21"/>
              </w:rPr>
              <w:t xml:space="preserve"> </w:t>
            </w:r>
          </w:p>
          <w:p w14:paraId="5EE852FE">
            <w:pPr>
              <w:spacing w:beforeLines="50" w:line="280" w:lineRule="exact"/>
              <w:rPr>
                <w:rFonts w:hint="eastAsia" w:ascii="宋体" w:hAnsi="宋体" w:eastAsia="宋体" w:cs="宋体"/>
                <w:szCs w:val="21"/>
              </w:rPr>
            </w:pPr>
            <w:r>
              <w:rPr>
                <w:rFonts w:hint="eastAsia" w:ascii="宋体" w:hAnsi="宋体" w:eastAsia="宋体" w:cs="宋体"/>
                <w:szCs w:val="21"/>
              </w:rPr>
              <w:t>邮政编码：</w:t>
            </w:r>
          </w:p>
        </w:tc>
        <w:tc>
          <w:tcPr>
            <w:tcW w:w="2509" w:type="dxa"/>
          </w:tcPr>
          <w:p w14:paraId="6D019A5F">
            <w:pPr>
              <w:spacing w:beforeLines="50" w:afterLines="50" w:line="280" w:lineRule="exact"/>
              <w:rPr>
                <w:rFonts w:hint="eastAsia" w:ascii="宋体" w:hAnsi="宋体" w:eastAsia="宋体" w:cs="宋体"/>
                <w:szCs w:val="21"/>
              </w:rPr>
            </w:pPr>
            <w:r>
              <w:rPr>
                <w:rFonts w:hint="eastAsia" w:ascii="宋体" w:hAnsi="宋体" w:eastAsia="宋体" w:cs="宋体"/>
                <w:szCs w:val="21"/>
              </w:rPr>
              <w:t>鉴（公）证意见：</w:t>
            </w:r>
          </w:p>
          <w:p w14:paraId="59A06CDC">
            <w:pPr>
              <w:spacing w:line="280" w:lineRule="exact"/>
              <w:jc w:val="center"/>
              <w:rPr>
                <w:rFonts w:hint="eastAsia" w:ascii="宋体" w:hAnsi="宋体" w:eastAsia="宋体" w:cs="宋体"/>
                <w:szCs w:val="21"/>
              </w:rPr>
            </w:pPr>
          </w:p>
          <w:p w14:paraId="193142D4">
            <w:pPr>
              <w:spacing w:line="280" w:lineRule="exact"/>
              <w:jc w:val="center"/>
              <w:rPr>
                <w:rFonts w:hint="eastAsia" w:ascii="宋体" w:hAnsi="宋体" w:eastAsia="宋体" w:cs="宋体"/>
                <w:szCs w:val="21"/>
              </w:rPr>
            </w:pPr>
          </w:p>
          <w:p w14:paraId="42B152DB">
            <w:pPr>
              <w:spacing w:line="280" w:lineRule="exact"/>
              <w:jc w:val="center"/>
              <w:rPr>
                <w:rFonts w:hint="eastAsia" w:ascii="宋体" w:hAnsi="宋体" w:eastAsia="宋体" w:cs="宋体"/>
                <w:szCs w:val="21"/>
              </w:rPr>
            </w:pPr>
          </w:p>
          <w:p w14:paraId="5438E647">
            <w:pPr>
              <w:spacing w:line="280" w:lineRule="exact"/>
              <w:jc w:val="center"/>
              <w:rPr>
                <w:rFonts w:hint="eastAsia" w:ascii="宋体" w:hAnsi="宋体" w:eastAsia="宋体" w:cs="宋体"/>
                <w:szCs w:val="21"/>
              </w:rPr>
            </w:pPr>
          </w:p>
          <w:p w14:paraId="0E8E11BD">
            <w:pPr>
              <w:spacing w:line="280" w:lineRule="exact"/>
              <w:jc w:val="center"/>
              <w:rPr>
                <w:rFonts w:hint="eastAsia" w:ascii="宋体" w:hAnsi="宋体" w:eastAsia="宋体" w:cs="宋体"/>
                <w:szCs w:val="21"/>
              </w:rPr>
            </w:pPr>
          </w:p>
          <w:p w14:paraId="3EF9B5EF">
            <w:pPr>
              <w:spacing w:line="280" w:lineRule="exact"/>
              <w:jc w:val="center"/>
              <w:rPr>
                <w:rFonts w:hint="eastAsia" w:ascii="宋体" w:hAnsi="宋体" w:eastAsia="宋体" w:cs="宋体"/>
                <w:szCs w:val="21"/>
              </w:rPr>
            </w:pPr>
          </w:p>
          <w:p w14:paraId="062DEF1C">
            <w:pPr>
              <w:spacing w:line="280" w:lineRule="exact"/>
              <w:jc w:val="center"/>
              <w:rPr>
                <w:rFonts w:hint="eastAsia" w:ascii="宋体" w:hAnsi="宋体" w:eastAsia="宋体" w:cs="宋体"/>
                <w:szCs w:val="21"/>
              </w:rPr>
            </w:pPr>
          </w:p>
          <w:p w14:paraId="17020FE0">
            <w:pPr>
              <w:spacing w:line="280" w:lineRule="exact"/>
              <w:jc w:val="left"/>
              <w:rPr>
                <w:rFonts w:hint="eastAsia" w:ascii="宋体" w:hAnsi="宋体" w:eastAsia="宋体" w:cs="宋体"/>
                <w:szCs w:val="21"/>
              </w:rPr>
            </w:pPr>
          </w:p>
          <w:p w14:paraId="1EBD5476">
            <w:pPr>
              <w:spacing w:line="280" w:lineRule="exact"/>
              <w:jc w:val="left"/>
              <w:rPr>
                <w:rFonts w:hint="eastAsia" w:ascii="宋体" w:hAnsi="宋体" w:eastAsia="宋体" w:cs="宋体"/>
                <w:szCs w:val="21"/>
              </w:rPr>
            </w:pPr>
          </w:p>
          <w:p w14:paraId="2053F5BF">
            <w:pPr>
              <w:spacing w:line="280" w:lineRule="exact"/>
              <w:jc w:val="left"/>
              <w:rPr>
                <w:rFonts w:hint="eastAsia" w:ascii="宋体" w:hAnsi="宋体" w:eastAsia="宋体" w:cs="宋体"/>
                <w:szCs w:val="21"/>
              </w:rPr>
            </w:pPr>
            <w:r>
              <w:rPr>
                <w:rFonts w:hint="eastAsia" w:ascii="宋体" w:hAnsi="宋体" w:eastAsia="宋体" w:cs="宋体"/>
                <w:szCs w:val="21"/>
              </w:rPr>
              <w:t>鉴（公）证机关（章）</w:t>
            </w:r>
          </w:p>
          <w:p w14:paraId="7592B468">
            <w:pPr>
              <w:spacing w:line="280" w:lineRule="exact"/>
              <w:jc w:val="left"/>
              <w:rPr>
                <w:rFonts w:hint="eastAsia" w:ascii="宋体" w:hAnsi="宋体" w:eastAsia="宋体" w:cs="宋体"/>
                <w:szCs w:val="21"/>
              </w:rPr>
            </w:pPr>
            <w:r>
              <w:rPr>
                <w:rFonts w:hint="eastAsia" w:ascii="宋体" w:hAnsi="宋体" w:eastAsia="宋体" w:cs="宋体"/>
                <w:szCs w:val="21"/>
              </w:rPr>
              <w:t>经办人：</w:t>
            </w:r>
          </w:p>
          <w:p w14:paraId="1EDDD6FB">
            <w:pPr>
              <w:spacing w:line="280" w:lineRule="exact"/>
              <w:rPr>
                <w:rFonts w:hint="eastAsia" w:ascii="宋体" w:hAnsi="宋体" w:eastAsia="宋体" w:cs="宋体"/>
                <w:szCs w:val="21"/>
              </w:rPr>
            </w:pPr>
          </w:p>
          <w:p w14:paraId="121C70A6">
            <w:pPr>
              <w:spacing w:line="280" w:lineRule="exact"/>
              <w:ind w:firstLine="420" w:firstLineChars="200"/>
              <w:rPr>
                <w:rFonts w:hint="eastAsia" w:ascii="宋体" w:hAnsi="宋体" w:eastAsia="宋体" w:cs="宋体"/>
                <w:szCs w:val="21"/>
              </w:rPr>
            </w:pPr>
            <w:r>
              <w:rPr>
                <w:rFonts w:hint="eastAsia" w:ascii="宋体" w:hAnsi="宋体" w:eastAsia="宋体" w:cs="宋体"/>
                <w:szCs w:val="21"/>
              </w:rPr>
              <w:t>年  月  日</w:t>
            </w:r>
          </w:p>
        </w:tc>
      </w:tr>
    </w:tbl>
    <w:p w14:paraId="69111AAE">
      <w:pPr>
        <w:rPr>
          <w:rFonts w:hint="eastAsia" w:ascii="宋体" w:hAnsi="宋体" w:eastAsia="宋体" w:cs="宋体"/>
        </w:rPr>
      </w:pPr>
    </w:p>
    <w:sectPr>
      <w:pgSz w:w="11906" w:h="16838"/>
      <w:pgMar w:top="850" w:right="1134" w:bottom="85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U1NjIyM2MyYTUxNmY2YThmNjI1MjU1OWE3ZTRlMjYifQ=="/>
  </w:docVars>
  <w:rsids>
    <w:rsidRoot w:val="005261B2"/>
    <w:rsid w:val="005261B2"/>
    <w:rsid w:val="00F16AA8"/>
    <w:rsid w:val="019B74C1"/>
    <w:rsid w:val="023F6892"/>
    <w:rsid w:val="14CF1B1B"/>
    <w:rsid w:val="15F22E9A"/>
    <w:rsid w:val="1CF9157B"/>
    <w:rsid w:val="201D22DD"/>
    <w:rsid w:val="229721DB"/>
    <w:rsid w:val="2E884E6F"/>
    <w:rsid w:val="2F071061"/>
    <w:rsid w:val="2FD74661"/>
    <w:rsid w:val="33D223E5"/>
    <w:rsid w:val="4040153E"/>
    <w:rsid w:val="443568A7"/>
    <w:rsid w:val="4613720A"/>
    <w:rsid w:val="46A00BF2"/>
    <w:rsid w:val="4C514D06"/>
    <w:rsid w:val="4EA53AE5"/>
    <w:rsid w:val="55103960"/>
    <w:rsid w:val="5C69361C"/>
    <w:rsid w:val="65E94822"/>
    <w:rsid w:val="67CB6900"/>
    <w:rsid w:val="6950525C"/>
    <w:rsid w:val="6A0E1913"/>
    <w:rsid w:val="6B205068"/>
    <w:rsid w:val="6C0449B2"/>
    <w:rsid w:val="730922C8"/>
    <w:rsid w:val="732C7FAD"/>
    <w:rsid w:val="756B304B"/>
    <w:rsid w:val="79DE08EE"/>
    <w:rsid w:val="7B2E44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0"/>
    <w:qFormat/>
    <w:uiPriority w:val="0"/>
    <w:pPr>
      <w:jc w:val="left"/>
    </w:pPr>
  </w:style>
  <w:style w:type="paragraph" w:styleId="3">
    <w:name w:val="footer"/>
    <w:basedOn w:val="1"/>
    <w:link w:val="9"/>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5">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character" w:customStyle="1" w:styleId="8">
    <w:name w:val="页眉 Char"/>
    <w:basedOn w:val="7"/>
    <w:link w:val="4"/>
    <w:semiHidden/>
    <w:qFormat/>
    <w:uiPriority w:val="99"/>
    <w:rPr>
      <w:sz w:val="18"/>
      <w:szCs w:val="18"/>
    </w:rPr>
  </w:style>
  <w:style w:type="character" w:customStyle="1" w:styleId="9">
    <w:name w:val="页脚 Char"/>
    <w:basedOn w:val="7"/>
    <w:link w:val="3"/>
    <w:semiHidden/>
    <w:qFormat/>
    <w:uiPriority w:val="99"/>
    <w:rPr>
      <w:sz w:val="18"/>
      <w:szCs w:val="18"/>
    </w:rPr>
  </w:style>
  <w:style w:type="character" w:customStyle="1" w:styleId="10">
    <w:name w:val="批注文字 Char"/>
    <w:basedOn w:val="7"/>
    <w:link w:val="2"/>
    <w:qFormat/>
    <w:uiPriority w:val="0"/>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2186</Words>
  <Characters>2208</Characters>
  <Lines>12</Lines>
  <Paragraphs>3</Paragraphs>
  <TotalTime>2</TotalTime>
  <ScaleCrop>false</ScaleCrop>
  <LinksUpToDate>false</LinksUpToDate>
  <CharactersWithSpaces>2483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2021-06-22T09:07:00Z</dcterms:created>
  <dc:creator>USER</dc:creator>
  <cp:lastModifiedBy>summer</cp:lastModifiedBy>
  <cp:lastPrinted>2022-05-10T03:19:00Z</cp:lastPrinted>
  <dcterms:modified xsi:type="dcterms:W3CDTF">2025-05-10T14:17:33Z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7C5688E9B51142649049EAD21A4E9ED0</vt:lpwstr>
  </property>
  <property fmtid="{D5CDD505-2E9C-101B-9397-08002B2CF9AE}" pid="4" name="KSOTemplateDocerSaveRecord">
    <vt:lpwstr>eyJoZGlkIjoiMzc2NGMwNzRhNzNlNjQ5MGY5NDBlZjk5YTNiNGUyNTgiLCJ1c2VySWQiOiI3NTA3MDU5MjYifQ==</vt:lpwstr>
  </property>
</Properties>
</file>